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南通开发区星湖小学人工智能学习空间设备项目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11</w:t>
      </w:r>
      <w:r>
        <w:rPr>
          <w:rFonts w:hint="eastAsia" w:ascii="宋体" w:hAnsi="宋体"/>
          <w:b/>
          <w:bCs/>
          <w:sz w:val="32"/>
          <w:szCs w:val="24"/>
        </w:rPr>
        <w:t>月</w:t>
      </w:r>
      <w:r>
        <w:rPr>
          <w:rFonts w:hint="eastAsia" w:ascii="宋体" w:hAnsi="宋体"/>
          <w:b/>
          <w:bCs/>
          <w:color w:val="auto"/>
          <w:sz w:val="32"/>
          <w:szCs w:val="24"/>
          <w:lang w:val="en-US" w:eastAsia="zh-CN"/>
        </w:rPr>
        <w:t>29</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南通开发区星湖小学人工智能学习空间设备项目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星湖小学人工智能学习空间设备项目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ascii="宋体" w:hAnsi="宋体" w:eastAsia="宋体"/>
          <w:sz w:val="24"/>
          <w:szCs w:val="24"/>
          <w:highlight w:val="none"/>
        </w:rPr>
        <w:t>1</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12</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3</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10</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星湖小学人工智能学习空间设备项目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南通开发区星湖小学人工智能学习空间设备项目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25</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25</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星湖小学部分专用教室改造项目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rFonts w:hint="eastAsia"/>
          <w:b/>
          <w:highlight w:val="none"/>
          <w:u w:val="single"/>
          <w:shd w:val="clear" w:color="auto" w:fill="FFFFFF"/>
          <w:lang w:val="en-US" w:eastAsia="zh-CN"/>
        </w:rPr>
        <w:t>12</w:t>
      </w:r>
      <w:r>
        <w:rPr>
          <w:rFonts w:hint="eastAsia"/>
          <w:b/>
          <w:highlight w:val="none"/>
          <w:shd w:val="clear" w:color="auto" w:fill="FFFFFF"/>
        </w:rPr>
        <w:t>月</w:t>
      </w:r>
      <w:r>
        <w:rPr>
          <w:rFonts w:hint="eastAsia"/>
          <w:b/>
          <w:color w:val="auto"/>
          <w:highlight w:val="none"/>
          <w:u w:val="single"/>
          <w:shd w:val="clear" w:color="auto" w:fill="FFFFFF"/>
          <w:lang w:val="en-US" w:eastAsia="zh-CN"/>
        </w:rPr>
        <w:t>3日10点00分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南通经济技术开发区星湖小学林翠路39号星灿天地四楼</w:t>
      </w:r>
      <w:r>
        <w:rPr>
          <w:rFonts w:hint="eastAsia" w:cs="Times New Roman"/>
          <w:shd w:val="clear" w:color="auto" w:fill="FFFFFF"/>
          <w:lang w:val="en-US" w:eastAsia="zh-CN"/>
        </w:rPr>
        <w:t>党支部活动</w:t>
      </w:r>
      <w:r>
        <w:rPr>
          <w:rFonts w:hint="eastAsia" w:cs="Times New Roman"/>
          <w:shd w:val="clear" w:color="auto" w:fill="FFFFFF"/>
        </w:rPr>
        <w:t>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w:t>
      </w:r>
      <w:r>
        <w:rPr>
          <w:rFonts w:hint="eastAsia" w:ascii="宋体" w:hAnsi="宋体" w:eastAsia="宋体"/>
          <w:b/>
          <w:sz w:val="24"/>
          <w:szCs w:val="24"/>
          <w:highlight w:val="none"/>
          <w:u w:val="single"/>
          <w:lang w:val="en-US" w:eastAsia="zh-CN"/>
        </w:rPr>
        <w:t>12</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3日10点00分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hint="eastAsia" w:ascii="宋体" w:hAnsi="宋体"/>
          <w:b/>
          <w:kern w:val="2"/>
          <w:lang w:val="en-US" w:eastAsia="zh-CN"/>
        </w:rPr>
        <w:t>11</w:t>
      </w:r>
      <w:r>
        <w:rPr>
          <w:rFonts w:hint="eastAsia" w:ascii="宋体" w:hAnsi="宋体"/>
          <w:b/>
          <w:kern w:val="2"/>
        </w:rPr>
        <w:t>月</w:t>
      </w:r>
      <w:r>
        <w:rPr>
          <w:rFonts w:hint="eastAsia" w:ascii="宋体" w:hAnsi="宋体"/>
          <w:b/>
          <w:color w:val="auto"/>
          <w:kern w:val="2"/>
          <w:lang w:val="en-US" w:eastAsia="zh-CN"/>
        </w:rPr>
        <w:t>29</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1"/>
        </w:numPr>
        <w:spacing w:line="360" w:lineRule="auto"/>
        <w:rPr>
          <w:rFonts w:ascii="宋体" w:hAnsi="宋体" w:eastAsia="宋体" w:cs="宋体"/>
          <w:b/>
          <w:sz w:val="28"/>
          <w:szCs w:val="28"/>
        </w:rPr>
      </w:pPr>
      <w:r>
        <w:rPr>
          <w:rFonts w:hint="eastAsia" w:ascii="宋体" w:hAnsi="宋体" w:eastAsia="宋体" w:cs="宋体"/>
          <w:b/>
          <w:sz w:val="28"/>
          <w:szCs w:val="28"/>
        </w:rPr>
        <w:t>项目需求</w:t>
      </w:r>
    </w:p>
    <w:tbl>
      <w:tblPr>
        <w:tblStyle w:val="10"/>
        <w:tblW w:w="9498" w:type="dxa"/>
        <w:tblInd w:w="-176" w:type="dxa"/>
        <w:tblLayout w:type="autofit"/>
        <w:tblCellMar>
          <w:top w:w="0" w:type="dxa"/>
          <w:left w:w="108" w:type="dxa"/>
          <w:bottom w:w="0" w:type="dxa"/>
          <w:right w:w="108" w:type="dxa"/>
        </w:tblCellMar>
      </w:tblPr>
      <w:tblGrid>
        <w:gridCol w:w="9498"/>
      </w:tblGrid>
      <w:tr>
        <w:trPr>
          <w:trHeight w:val="744" w:hRule="atLeast"/>
        </w:trPr>
        <w:tc>
          <w:tcPr>
            <w:tcW w:w="9498" w:type="dxa"/>
            <w:vMerge w:val="restart"/>
            <w:tcBorders>
              <w:top w:val="nil"/>
              <w:left w:val="nil"/>
              <w:bottom w:val="nil"/>
              <w:right w:val="nil"/>
            </w:tcBorders>
            <w:shd w:val="clear" w:color="000000" w:fill="FFFFFF"/>
            <w:vAlign w:val="center"/>
          </w:tcPr>
          <w:p>
            <w:pPr>
              <w:widowControl/>
              <w:jc w:val="center"/>
              <w:rPr>
                <w:rFonts w:hint="eastAsia" w:ascii="宋体" w:hAnsi="宋体" w:eastAsia="宋体" w:cs="宋体"/>
                <w:b/>
                <w:bCs/>
                <w:color w:val="000000"/>
                <w:kern w:val="0"/>
                <w:sz w:val="28"/>
                <w:szCs w:val="28"/>
              </w:rPr>
            </w:pPr>
            <w:bookmarkStart w:id="1" w:name="_Toc482279881"/>
            <w:r>
              <w:rPr>
                <w:rFonts w:hint="eastAsia" w:ascii="宋体" w:hAnsi="宋体" w:eastAsia="宋体" w:cs="宋体"/>
                <w:b/>
                <w:bCs/>
                <w:color w:val="000000"/>
                <w:kern w:val="0"/>
                <w:sz w:val="28"/>
                <w:szCs w:val="28"/>
              </w:rPr>
              <w:t xml:space="preserve">南通开发区星湖小学人工智能学习空间设备及安装采购项目 </w:t>
            </w:r>
          </w:p>
          <w:tbl>
            <w:tblPr>
              <w:tblStyle w:val="10"/>
              <w:tblW w:w="8944" w:type="dxa"/>
              <w:tblInd w:w="95" w:type="dxa"/>
              <w:tblLayout w:type="autofit"/>
              <w:tblCellMar>
                <w:top w:w="0" w:type="dxa"/>
                <w:left w:w="108" w:type="dxa"/>
                <w:bottom w:w="0" w:type="dxa"/>
                <w:right w:w="108" w:type="dxa"/>
              </w:tblCellMar>
            </w:tblPr>
            <w:tblGrid>
              <w:gridCol w:w="648"/>
              <w:gridCol w:w="709"/>
              <w:gridCol w:w="1134"/>
              <w:gridCol w:w="4396"/>
              <w:gridCol w:w="708"/>
              <w:gridCol w:w="709"/>
              <w:gridCol w:w="640"/>
            </w:tblGrid>
            <w:tr>
              <w:tblPrEx>
                <w:tblCellMar>
                  <w:top w:w="0" w:type="dxa"/>
                  <w:left w:w="108" w:type="dxa"/>
                  <w:bottom w:w="0" w:type="dxa"/>
                  <w:right w:w="108" w:type="dxa"/>
                </w:tblCellMar>
              </w:tblPrEx>
              <w:trPr>
                <w:trHeight w:val="312" w:hRule="atLeast"/>
              </w:trPr>
              <w:tc>
                <w:tcPr>
                  <w:tcW w:w="8944" w:type="dxa"/>
                  <w:gridSpan w:val="7"/>
                  <w:tcBorders>
                    <w:top w:val="nil"/>
                    <w:left w:val="nil"/>
                    <w:bottom w:val="nil"/>
                    <w:right w:val="nil"/>
                  </w:tcBorders>
                  <w:shd w:val="clear" w:color="auto" w:fill="auto"/>
                  <w:vAlign w:val="center"/>
                </w:tcPr>
                <w:p>
                  <w:pPr>
                    <w:widowControl/>
                    <w:jc w:val="left"/>
                    <w:rPr>
                      <w:rFonts w:ascii="宋体" w:hAnsi="宋体" w:eastAsia="宋体" w:cs="宋体"/>
                      <w:b/>
                      <w:bCs/>
                      <w:color w:val="000000"/>
                      <w:kern w:val="0"/>
                      <w:sz w:val="20"/>
                      <w:szCs w:val="20"/>
                    </w:rPr>
                  </w:pPr>
                </w:p>
              </w:tc>
            </w:tr>
            <w:tr>
              <w:tblPrEx>
                <w:tblCellMar>
                  <w:top w:w="0" w:type="dxa"/>
                  <w:left w:w="108" w:type="dxa"/>
                  <w:bottom w:w="0" w:type="dxa"/>
                  <w:right w:w="108" w:type="dxa"/>
                </w:tblCellMar>
              </w:tblPrEx>
              <w:trPr>
                <w:trHeight w:val="342" w:hRule="atLeast"/>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0"/>
                      <w:szCs w:val="20"/>
                    </w:rPr>
                  </w:pPr>
                  <w:r>
                    <w:rPr>
                      <w:rFonts w:hint="eastAsia" w:ascii="宋体" w:hAnsi="宋体" w:eastAsia="宋体" w:cs="宋体"/>
                      <w:b/>
                      <w:kern w:val="0"/>
                      <w:sz w:val="20"/>
                      <w:szCs w:val="20"/>
                    </w:rPr>
                    <w:t>序号</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ind w:left="-151" w:leftChars="-72"/>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品名</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ind w:right="-107" w:rightChars="-51"/>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推荐品牌</w:t>
                  </w:r>
                </w:p>
              </w:tc>
              <w:tc>
                <w:tcPr>
                  <w:tcW w:w="43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规格参数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数量</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单位</w:t>
                  </w:r>
                </w:p>
              </w:tc>
              <w:tc>
                <w:tcPr>
                  <w:tcW w:w="64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备注</w:t>
                  </w:r>
                </w:p>
              </w:tc>
            </w:tr>
            <w:tr>
              <w:tblPrEx>
                <w:tblCellMar>
                  <w:top w:w="0" w:type="dxa"/>
                  <w:left w:w="108" w:type="dxa"/>
                  <w:bottom w:w="0" w:type="dxa"/>
                  <w:right w:w="108" w:type="dxa"/>
                </w:tblCellMar>
              </w:tblPrEx>
              <w:trPr>
                <w:trHeight w:val="402" w:hRule="atLeast"/>
              </w:trPr>
              <w:tc>
                <w:tcPr>
                  <w:tcW w:w="8944"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人工智能学习空间</w:t>
                  </w:r>
                </w:p>
              </w:tc>
            </w:tr>
            <w:tr>
              <w:tblPrEx>
                <w:tblCellMar>
                  <w:top w:w="0" w:type="dxa"/>
                  <w:left w:w="108" w:type="dxa"/>
                  <w:bottom w:w="0" w:type="dxa"/>
                  <w:right w:w="108" w:type="dxa"/>
                </w:tblCellMar>
              </w:tblPrEx>
              <w:trPr>
                <w:trHeight w:val="1002" w:hRule="atLeast"/>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仿宋_GB2312" w:cs="宋体"/>
                      <w:color w:val="000000"/>
                      <w:kern w:val="0"/>
                      <w:sz w:val="21"/>
                      <w:szCs w:val="21"/>
                      <w:lang w:val="en-US" w:eastAsia="zh-CN" w:bidi="ar-SA"/>
                    </w:rPr>
                  </w:pPr>
                  <w:r>
                    <w:rPr>
                      <w:rFonts w:hint="eastAsia" w:ascii="宋体" w:hAnsi="宋体" w:cs="宋体"/>
                      <w:color w:val="000000"/>
                      <w:kern w:val="0"/>
                      <w:szCs w:val="21"/>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rPr>
                    <w:t>玻璃隔断 玻璃门</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p>
              </w:tc>
              <w:tc>
                <w:tcPr>
                  <w:tcW w:w="439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整体规格：19.8*3.65(门：2.4*2.8)，主体为3mm厚铝合金材质，15mm厚钢化玻璃</w:t>
                  </w:r>
                </w:p>
                <w:p>
                  <w:pPr>
                    <w:pStyle w:val="2"/>
                    <w:rPr>
                      <w:rFonts w:hint="eastAsia" w:ascii="宋体" w:hAnsi="宋体" w:eastAsia="宋体" w:cs="宋体"/>
                      <w:kern w:val="0"/>
                      <w:szCs w:val="21"/>
                    </w:rPr>
                  </w:pPr>
                  <w:r>
                    <w:rPr>
                      <w:rFonts w:hint="eastAsia" w:ascii="宋体" w:hAnsi="宋体" w:cs="宋体"/>
                      <w:color w:val="000000"/>
                      <w:kern w:val="0"/>
                      <w:sz w:val="22"/>
                    </w:rPr>
                    <w:drawing>
                      <wp:anchor distT="0" distB="0" distL="114300" distR="114300" simplePos="0" relativeHeight="251659264" behindDoc="0" locked="0" layoutInCell="1" allowOverlap="1">
                        <wp:simplePos x="0" y="0"/>
                        <wp:positionH relativeFrom="column">
                          <wp:posOffset>1340485</wp:posOffset>
                        </wp:positionH>
                        <wp:positionV relativeFrom="paragraph">
                          <wp:posOffset>17145</wp:posOffset>
                        </wp:positionV>
                        <wp:extent cx="1207770" cy="1067435"/>
                        <wp:effectExtent l="0" t="0" r="11430" b="18415"/>
                        <wp:wrapNone/>
                        <wp:docPr id="2" name="图片 2" descr="16055039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5503961(1)"/>
                                <pic:cNvPicPr>
                                  <a:picLocks noChangeAspect="1"/>
                                </pic:cNvPicPr>
                              </pic:nvPicPr>
                              <pic:blipFill>
                                <a:blip r:embed="rId8"/>
                                <a:stretch>
                                  <a:fillRect/>
                                </a:stretch>
                              </pic:blipFill>
                              <pic:spPr>
                                <a:xfrm>
                                  <a:off x="0" y="0"/>
                                  <a:ext cx="1207770" cy="1067435"/>
                                </a:xfrm>
                                <a:prstGeom prst="rect">
                                  <a:avLst/>
                                </a:prstGeom>
                                <a:noFill/>
                                <a:ln>
                                  <a:noFill/>
                                </a:ln>
                              </pic:spPr>
                            </pic:pic>
                          </a:graphicData>
                        </a:graphic>
                      </wp:anchor>
                    </w:drawing>
                  </w:r>
                </w:p>
                <w:p>
                  <w:pPr>
                    <w:pStyle w:val="2"/>
                    <w:rPr>
                      <w:rFonts w:hint="eastAsia" w:ascii="宋体" w:hAnsi="宋体" w:eastAsia="宋体" w:cs="宋体"/>
                      <w:kern w:val="0"/>
                      <w:szCs w:val="21"/>
                    </w:rPr>
                  </w:pPr>
                </w:p>
                <w:p>
                  <w:pPr>
                    <w:widowControl/>
                    <w:jc w:val="center"/>
                    <w:rPr>
                      <w:rFonts w:hint="eastAsia" w:ascii="宋体" w:hAnsi="宋体" w:eastAsia="宋体" w:cs="宋体"/>
                      <w:kern w:val="0"/>
                      <w:szCs w:val="21"/>
                    </w:rPr>
                  </w:pPr>
                </w:p>
                <w:p>
                  <w:pPr>
                    <w:widowControl/>
                    <w:jc w:val="center"/>
                    <w:rPr>
                      <w:rFonts w:hint="eastAsia" w:ascii="宋体" w:hAnsi="宋体" w:eastAsia="宋体" w:cs="宋体"/>
                      <w:kern w:val="0"/>
                      <w:szCs w:val="21"/>
                    </w:rPr>
                  </w:pPr>
                </w:p>
                <w:p>
                  <w:pPr>
                    <w:widowControl/>
                    <w:jc w:val="center"/>
                    <w:rPr>
                      <w:rFonts w:hint="eastAsia" w:ascii="宋体" w:hAnsi="宋体" w:eastAsia="仿宋_GB2312" w:cs="宋体"/>
                      <w:color w:val="000000"/>
                      <w:kern w:val="0"/>
                      <w:sz w:val="20"/>
                      <w:szCs w:val="20"/>
                      <w:lang w:val="en-US" w:eastAsia="zh-CN" w:bidi="ar-SA"/>
                    </w:rPr>
                  </w:pP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宋体"/>
                      <w:color w:val="000000"/>
                      <w:kern w:val="0"/>
                      <w:sz w:val="21"/>
                      <w:szCs w:val="21"/>
                      <w:lang w:val="en-US" w:eastAsia="zh-CN" w:bidi="ar-SA"/>
                    </w:rPr>
                  </w:pPr>
                  <w:r>
                    <w:rPr>
                      <w:rFonts w:hint="eastAsia" w:ascii="宋体" w:hAnsi="宋体" w:cs="宋体"/>
                      <w:color w:val="000000"/>
                      <w:kern w:val="0"/>
                      <w:szCs w:val="21"/>
                    </w:rPr>
                    <w:t>73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仿宋_GB2312" w:cs="宋体"/>
                      <w:color w:val="000000"/>
                      <w:kern w:val="0"/>
                      <w:sz w:val="21"/>
                      <w:szCs w:val="21"/>
                      <w:lang w:val="en-US" w:eastAsia="zh-CN" w:bidi="ar-SA"/>
                    </w:rPr>
                  </w:pPr>
                  <w:r>
                    <w:rPr>
                      <w:rFonts w:hint="eastAsia" w:ascii="宋体" w:hAnsi="宋体" w:cs="宋体"/>
                      <w:color w:val="000000"/>
                      <w:kern w:val="0"/>
                      <w:sz w:val="20"/>
                      <w:szCs w:val="20"/>
                    </w:rPr>
                    <w:t>㎡</w:t>
                  </w:r>
                  <w:r>
                    <w:rPr>
                      <w:rFonts w:hint="eastAsia" w:ascii="宋体" w:hAnsi="宋体" w:cs="宋体"/>
                      <w:color w:val="000000"/>
                      <w:kern w:val="0"/>
                      <w:szCs w:val="21"/>
                    </w:rPr>
                    <w:t>　</w:t>
                  </w: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1002" w:hRule="atLeast"/>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文化布置</w:t>
                  </w:r>
                </w:p>
              </w:tc>
              <w:tc>
                <w:tcPr>
                  <w:tcW w:w="1134" w:type="dxa"/>
                  <w:tcBorders>
                    <w:top w:val="nil"/>
                    <w:left w:val="nil"/>
                    <w:bottom w:val="single" w:color="auto" w:sz="4" w:space="0"/>
                    <w:right w:val="single" w:color="auto" w:sz="4" w:space="0"/>
                  </w:tcBorders>
                  <w:shd w:val="clear" w:color="auto" w:fill="auto"/>
                  <w:vAlign w:val="center"/>
                </w:tcPr>
                <w:p>
                  <w:pPr>
                    <w:pStyle w:val="2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p>
              </w:tc>
              <w:tc>
                <w:tcPr>
                  <w:tcW w:w="43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人工智能学习空间氛围布置，人工智能主题风格装修；</w:t>
                  </w:r>
                </w:p>
              </w:tc>
              <w:tc>
                <w:tcPr>
                  <w:tcW w:w="708" w:type="dxa"/>
                  <w:tcBorders>
                    <w:top w:val="nil"/>
                    <w:left w:val="nil"/>
                    <w:bottom w:val="single" w:color="auto" w:sz="4" w:space="0"/>
                    <w:right w:val="single" w:color="auto" w:sz="4" w:space="0"/>
                  </w:tcBorders>
                  <w:shd w:val="clear" w:color="auto" w:fill="auto"/>
                  <w:vAlign w:val="center"/>
                </w:tcPr>
                <w:p>
                  <w:pPr>
                    <w:pStyle w:val="27"/>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b w:val="0"/>
                      <w:bCs w:val="0"/>
                      <w:kern w:val="2"/>
                      <w:sz w:val="21"/>
                      <w:szCs w:val="21"/>
                      <w:vertAlign w:val="baseline"/>
                      <w:lang w:val="en-US" w:eastAsia="zh-CN" w:bidi="ar-SA"/>
                    </w:rPr>
                    <w:t>批</w:t>
                  </w: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1002" w:hRule="atLeast"/>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互动沙盘</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p>
              </w:tc>
              <w:tc>
                <w:tcPr>
                  <w:tcW w:w="43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互动沙盘：</w:t>
                  </w:r>
                </w:p>
                <w:p>
                  <w:pPr>
                    <w:keepNext w:val="0"/>
                    <w:keepLines w:val="0"/>
                    <w:widowControl/>
                    <w:suppressLineNumbers w:val="0"/>
                    <w:jc w:val="left"/>
                    <w:textAlignment w:val="center"/>
                    <w:rPr>
                      <w:rFonts w:hint="eastAsia"/>
                      <w:lang w:val="en-US" w:eastAsia="zh-CN"/>
                    </w:rPr>
                  </w:pPr>
                  <w:r>
                    <w:rPr>
                      <w:rFonts w:hint="eastAsia"/>
                      <w:lang w:val="en-US" w:eastAsia="zh-CN"/>
                    </w:rPr>
                    <w:t>人体感应沙盘尺寸：不小于3m*1.5m</w:t>
                  </w:r>
                </w:p>
                <w:p>
                  <w:pPr>
                    <w:pStyle w:val="2"/>
                    <w:ind w:left="0" w:leftChars="0" w:firstLine="0" w:firstLineChars="0"/>
                    <w:rPr>
                      <w:rFonts w:hint="default" w:eastAsia="仿宋_GB2312"/>
                      <w:lang w:val="en-US" w:eastAsia="zh-CN"/>
                    </w:rPr>
                  </w:pPr>
                  <w:r>
                    <w:rPr>
                      <w:rFonts w:hint="eastAsia"/>
                    </w:rPr>
                    <w:t>处理器：</w:t>
                  </w:r>
                  <w:r>
                    <w:rPr>
                      <w:rFonts w:hint="eastAsia"/>
                      <w:lang w:val="en-US" w:eastAsia="zh-CN"/>
                    </w:rPr>
                    <w:t>不小于</w:t>
                  </w:r>
                  <w:r>
                    <w:rPr>
                      <w:rFonts w:hint="eastAsia"/>
                    </w:rPr>
                    <w:t>i7显卡：1569-1809MHz 6G/8GHz</w:t>
                  </w:r>
                  <w:r>
                    <w:rPr>
                      <w:rFonts w:hint="eastAsia"/>
                      <w:lang w:eastAsia="zh-CN"/>
                    </w:rPr>
                    <w:t>；</w:t>
                  </w:r>
                  <w:r>
                    <w:rPr>
                      <w:rFonts w:hint="eastAsia"/>
                      <w:lang w:val="en-US" w:eastAsia="zh-CN"/>
                    </w:rPr>
                    <w:t>裸眼3D呈现，军事、地理等题材互动体验不少于30套。</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套</w:t>
                  </w: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1002" w:hRule="atLeast"/>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cs="宋体"/>
                      <w:i w:val="0"/>
                      <w:iCs w:val="0"/>
                      <w:color w:val="000000"/>
                      <w:kern w:val="0"/>
                      <w:sz w:val="22"/>
                      <w:szCs w:val="22"/>
                      <w:u w:val="none"/>
                      <w:lang w:val="en-US" w:eastAsia="zh-CN" w:bidi="ar"/>
                    </w:rPr>
                    <w:t>时光隧道</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p>
              </w:tc>
              <w:tc>
                <w:tcPr>
                  <w:tcW w:w="43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kern w:val="0"/>
                      <w:szCs w:val="21"/>
                      <w:lang w:val="en-US"/>
                    </w:rPr>
                  </w:pPr>
                  <w:r>
                    <w:rPr>
                      <w:rFonts w:hint="eastAsia" w:ascii="宋体" w:hAnsi="宋体" w:eastAsia="宋体" w:cs="宋体"/>
                      <w:i w:val="0"/>
                      <w:iCs w:val="0"/>
                      <w:color w:val="000000"/>
                      <w:kern w:val="0"/>
                      <w:sz w:val="22"/>
                      <w:szCs w:val="22"/>
                      <w:u w:val="none"/>
                      <w:lang w:val="en-US" w:eastAsia="zh-CN" w:bidi="ar"/>
                    </w:rPr>
                    <w:t>面积</w:t>
                  </w:r>
                  <w:r>
                    <w:rPr>
                      <w:rFonts w:hint="eastAsia" w:ascii="宋体" w:hAnsi="宋体" w:cs="宋体"/>
                      <w:i w:val="0"/>
                      <w:iCs w:val="0"/>
                      <w:color w:val="000000"/>
                      <w:kern w:val="0"/>
                      <w:sz w:val="22"/>
                      <w:szCs w:val="22"/>
                      <w:u w:val="none"/>
                      <w:lang w:val="en-US" w:eastAsia="zh-CN" w:bidi="ar"/>
                    </w:rPr>
                    <w:t>不小于</w:t>
                  </w:r>
                  <w:r>
                    <w:rPr>
                      <w:rFonts w:hint="eastAsia" w:ascii="宋体" w:hAnsi="宋体" w:eastAsia="宋体" w:cs="宋体"/>
                      <w:i w:val="0"/>
                      <w:iCs w:val="0"/>
                      <w:color w:val="000000"/>
                      <w:kern w:val="0"/>
                      <w:sz w:val="22"/>
                      <w:szCs w:val="22"/>
                      <w:u w:val="none"/>
                      <w:lang w:val="en-US" w:eastAsia="zh-CN" w:bidi="ar"/>
                    </w:rPr>
                    <w:t xml:space="preserve">40平米   </w:t>
                  </w:r>
                  <w:r>
                    <w:rPr>
                      <w:rFonts w:hint="eastAsia" w:ascii="宋体" w:hAnsi="宋体" w:cs="宋体"/>
                      <w:i w:val="0"/>
                      <w:iCs w:val="0"/>
                      <w:color w:val="000000"/>
                      <w:kern w:val="0"/>
                      <w:sz w:val="22"/>
                      <w:szCs w:val="22"/>
                      <w:u w:val="none"/>
                      <w:lang w:val="en-US" w:eastAsia="zh-CN" w:bidi="ar"/>
                    </w:rPr>
                    <w:t>不少于</w:t>
                  </w:r>
                  <w:r>
                    <w:rPr>
                      <w:rFonts w:hint="eastAsia" w:ascii="宋体" w:hAnsi="宋体" w:eastAsia="宋体" w:cs="宋体"/>
                      <w:i w:val="0"/>
                      <w:iCs w:val="0"/>
                      <w:color w:val="000000"/>
                      <w:kern w:val="0"/>
                      <w:sz w:val="22"/>
                      <w:szCs w:val="22"/>
                      <w:u w:val="none"/>
                      <w:lang w:val="en-US" w:eastAsia="zh-CN" w:bidi="ar"/>
                    </w:rPr>
                    <w:t>3台 RGB 彩色激光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FB4互动程序</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薄雾机1500w；</w:t>
                  </w:r>
                  <w:r>
                    <w:rPr>
                      <w:rFonts w:hint="eastAsia"/>
                      <w:lang w:val="en-US" w:eastAsia="zh-CN"/>
                    </w:rPr>
                    <w:t>裸眼3D呈现，历史互动呈现主题教育场景不少于50套。</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套</w:t>
                  </w: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1002" w:hRule="atLeast"/>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5</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rPr>
                  </w:pPr>
                  <w:r>
                    <w:rPr>
                      <w:rFonts w:hint="eastAsia" w:ascii="宋体" w:hAnsi="宋体" w:cs="宋体"/>
                      <w:i w:val="0"/>
                      <w:iCs w:val="0"/>
                      <w:color w:val="000000"/>
                      <w:kern w:val="0"/>
                      <w:sz w:val="22"/>
                      <w:szCs w:val="22"/>
                      <w:u w:val="none"/>
                      <w:lang w:val="en-US" w:eastAsia="zh-CN" w:bidi="ar"/>
                    </w:rPr>
                    <w:t>消防地震体验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p>
              </w:tc>
              <w:tc>
                <w:tcPr>
                  <w:tcW w:w="43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kern w:val="0"/>
                      <w:szCs w:val="21"/>
                      <w:lang w:val="en-US"/>
                    </w:rPr>
                  </w:pPr>
                  <w:r>
                    <w:rPr>
                      <w:rFonts w:hint="eastAsia" w:ascii="宋体" w:hAnsi="宋体" w:eastAsia="宋体" w:cs="宋体"/>
                      <w:i w:val="0"/>
                      <w:iCs w:val="0"/>
                      <w:color w:val="000000"/>
                      <w:kern w:val="0"/>
                      <w:sz w:val="22"/>
                      <w:szCs w:val="22"/>
                      <w:u w:val="none"/>
                      <w:lang w:val="en-US" w:eastAsia="zh-CN" w:bidi="ar"/>
                    </w:rPr>
                    <w:t>面积</w:t>
                  </w:r>
                  <w:r>
                    <w:rPr>
                      <w:rFonts w:hint="eastAsia" w:ascii="宋体" w:hAnsi="宋体" w:cs="宋体"/>
                      <w:i w:val="0"/>
                      <w:iCs w:val="0"/>
                      <w:color w:val="000000"/>
                      <w:kern w:val="0"/>
                      <w:sz w:val="22"/>
                      <w:szCs w:val="22"/>
                      <w:u w:val="none"/>
                      <w:lang w:val="en-US" w:eastAsia="zh-CN" w:bidi="ar"/>
                    </w:rPr>
                    <w:t>不小于</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m*</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m</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雷达感应</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I7  8G  256G  主机</w:t>
                  </w:r>
                  <w:r>
                    <w:rPr>
                      <w:rFonts w:hint="eastAsia" w:ascii="宋体" w:hAnsi="宋体" w:cs="宋体"/>
                      <w:i w:val="0"/>
                      <w:iCs w:val="0"/>
                      <w:color w:val="000000"/>
                      <w:kern w:val="0"/>
                      <w:sz w:val="22"/>
                      <w:szCs w:val="22"/>
                      <w:u w:val="none"/>
                      <w:lang w:val="en-US" w:eastAsia="zh-CN" w:bidi="ar"/>
                    </w:rPr>
                    <w:t>；模拟地震、消防等场景，交互体验，裸眼3D呈现，</w:t>
                  </w:r>
                  <w:r>
                    <w:rPr>
                      <w:rFonts w:hint="eastAsia"/>
                      <w:lang w:val="en-US" w:eastAsia="zh-CN"/>
                    </w:rPr>
                    <w:t>主题教育场景不少于25套。</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套</w:t>
                  </w: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p>
              </w:tc>
            </w:tr>
            <w:tr>
              <w:tblPrEx>
                <w:tblCellMar>
                  <w:top w:w="0" w:type="dxa"/>
                  <w:left w:w="108" w:type="dxa"/>
                  <w:bottom w:w="0" w:type="dxa"/>
                  <w:right w:w="108" w:type="dxa"/>
                </w:tblCellMar>
              </w:tblPrEx>
              <w:trPr>
                <w:trHeight w:val="1002" w:hRule="atLeast"/>
              </w:trPr>
              <w:tc>
                <w:tcPr>
                  <w:tcW w:w="6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交通安全体验</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p>
              </w:tc>
              <w:tc>
                <w:tcPr>
                  <w:tcW w:w="43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kern w:val="0"/>
                      <w:szCs w:val="21"/>
                      <w:lang w:val="en-US"/>
                    </w:rPr>
                  </w:pPr>
                  <w:r>
                    <w:rPr>
                      <w:rFonts w:hint="eastAsia" w:ascii="宋体" w:hAnsi="宋体" w:eastAsia="宋体" w:cs="宋体"/>
                      <w:i w:val="0"/>
                      <w:iCs w:val="0"/>
                      <w:color w:val="000000"/>
                      <w:kern w:val="0"/>
                      <w:sz w:val="22"/>
                      <w:szCs w:val="22"/>
                      <w:u w:val="none"/>
                      <w:lang w:val="en-US" w:eastAsia="zh-CN" w:bidi="ar"/>
                    </w:rPr>
                    <w:t>面积</w:t>
                  </w:r>
                  <w:r>
                    <w:rPr>
                      <w:rFonts w:hint="eastAsia" w:ascii="宋体" w:hAnsi="宋体" w:cs="宋体"/>
                      <w:i w:val="0"/>
                      <w:iCs w:val="0"/>
                      <w:color w:val="000000"/>
                      <w:kern w:val="0"/>
                      <w:sz w:val="22"/>
                      <w:szCs w:val="22"/>
                      <w:u w:val="none"/>
                      <w:lang w:val="en-US" w:eastAsia="zh-CN" w:bidi="ar"/>
                    </w:rPr>
                    <w:t>不小于</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m*</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m</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雷达感应</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I7  8G  256G  主机</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主要项目包含模拟驾驶，交通指挥手势学习，安全乘车体验，非机动车驾驶体验区，安全标示认识学习区等；</w:t>
                  </w:r>
                  <w:r>
                    <w:rPr>
                      <w:rFonts w:hint="eastAsia"/>
                      <w:lang w:val="en-US" w:eastAsia="zh-CN"/>
                    </w:rPr>
                    <w:t>主题教育场景不少于50套。含不少于1台学生用电子模拟驾驶体验车。</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val="en-US" w:eastAsia="zh-CN"/>
                    </w:rPr>
                    <w:t>套</w:t>
                  </w:r>
                </w:p>
              </w:tc>
              <w:tc>
                <w:tcPr>
                  <w:tcW w:w="6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p>
              </w:tc>
            </w:tr>
          </w:tbl>
          <w:p>
            <w:pPr>
              <w:pStyle w:val="2"/>
              <w:ind w:left="0" w:leftChars="0"/>
              <w:rPr>
                <w:rFonts w:ascii="宋体" w:hAnsi="宋体" w:eastAsia="宋体"/>
              </w:rPr>
            </w:pPr>
          </w:p>
        </w:tc>
      </w:tr>
      <w:tr>
        <w:tblPrEx>
          <w:tblCellMar>
            <w:top w:w="0" w:type="dxa"/>
            <w:left w:w="108" w:type="dxa"/>
            <w:bottom w:w="0" w:type="dxa"/>
            <w:right w:w="108" w:type="dxa"/>
          </w:tblCellMar>
        </w:tblPrEx>
        <w:trPr>
          <w:trHeight w:val="312" w:hRule="atLeast"/>
        </w:trPr>
        <w:tc>
          <w:tcPr>
            <w:tcW w:w="9498" w:type="dxa"/>
            <w:vMerge w:val="continue"/>
            <w:tcBorders>
              <w:top w:val="nil"/>
              <w:left w:val="nil"/>
              <w:bottom w:val="nil"/>
              <w:right w:val="nil"/>
            </w:tcBorders>
            <w:vAlign w:val="center"/>
          </w:tcPr>
          <w:p>
            <w:pPr>
              <w:widowControl/>
              <w:jc w:val="left"/>
              <w:rPr>
                <w:rFonts w:ascii="宋体" w:hAnsi="宋体" w:eastAsia="宋体" w:cs="宋体"/>
                <w:b/>
                <w:bCs/>
                <w:color w:val="000000"/>
                <w:kern w:val="0"/>
                <w:sz w:val="20"/>
                <w:szCs w:val="20"/>
              </w:rPr>
            </w:pPr>
          </w:p>
        </w:tc>
      </w:tr>
    </w:tbl>
    <w:p>
      <w:pPr>
        <w:pStyle w:val="2"/>
        <w:ind w:firstLine="420" w:firstLineChars="200"/>
        <w:rPr>
          <w:rFonts w:hint="eastAsia"/>
          <w:lang w:val="en-US" w:eastAsia="zh-CN"/>
        </w:rPr>
      </w:pPr>
    </w:p>
    <w:p>
      <w:pPr>
        <w:pStyle w:val="2"/>
        <w:ind w:firstLine="420" w:firstLineChars="200"/>
        <w:rPr>
          <w:rFonts w:hint="eastAsia"/>
          <w:lang w:val="en-US" w:eastAsia="zh-CN"/>
        </w:rPr>
      </w:pPr>
      <w:bookmarkStart w:id="2" w:name="_GoBack"/>
      <w:bookmarkEnd w:id="2"/>
      <w:r>
        <w:rPr>
          <w:rFonts w:hint="default"/>
          <w:lang w:val="en-US" w:eastAsia="zh-CN"/>
        </w:rPr>
        <w:drawing>
          <wp:anchor distT="0" distB="0" distL="114300" distR="114300" simplePos="0" relativeHeight="251660288" behindDoc="0" locked="0" layoutInCell="1" allowOverlap="1">
            <wp:simplePos x="0" y="0"/>
            <wp:positionH relativeFrom="column">
              <wp:posOffset>199390</wp:posOffset>
            </wp:positionH>
            <wp:positionV relativeFrom="paragraph">
              <wp:posOffset>295275</wp:posOffset>
            </wp:positionV>
            <wp:extent cx="5267325" cy="3208020"/>
            <wp:effectExtent l="0" t="0" r="9525" b="11430"/>
            <wp:wrapTopAndBottom/>
            <wp:docPr id="1" name="图片 1" descr="16377297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37729706(1)"/>
                    <pic:cNvPicPr>
                      <a:picLocks noChangeAspect="1"/>
                    </pic:cNvPicPr>
                  </pic:nvPicPr>
                  <pic:blipFill>
                    <a:blip r:embed="rId9"/>
                    <a:stretch>
                      <a:fillRect/>
                    </a:stretch>
                  </pic:blipFill>
                  <pic:spPr>
                    <a:xfrm>
                      <a:off x="0" y="0"/>
                      <a:ext cx="5267325" cy="3208020"/>
                    </a:xfrm>
                    <a:prstGeom prst="rect">
                      <a:avLst/>
                    </a:prstGeom>
                  </pic:spPr>
                </pic:pic>
              </a:graphicData>
            </a:graphic>
          </wp:anchor>
        </w:drawing>
      </w:r>
    </w:p>
    <w:p>
      <w:pPr>
        <w:pStyle w:val="2"/>
        <w:ind w:firstLine="420" w:firstLineChars="200"/>
        <w:rPr>
          <w:rFonts w:hint="default"/>
          <w:lang w:val="en-US" w:eastAsia="zh-CN"/>
        </w:rPr>
      </w:pPr>
      <w:r>
        <w:rPr>
          <w:rFonts w:hint="eastAsia"/>
          <w:lang w:val="en-US" w:eastAsia="zh-CN"/>
        </w:rPr>
        <w:t>效果图</w:t>
      </w:r>
    </w:p>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南通开发区星湖小学人工智能学习空间设备项目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南通开发区星湖星湖小学人工智能学习空间设备项目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南通开发区星湖星湖小学人工智能学习空间设备项目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AC67231"/>
    <w:rsid w:val="0BA53987"/>
    <w:rsid w:val="0D4A1C50"/>
    <w:rsid w:val="0E195485"/>
    <w:rsid w:val="0E1B4E92"/>
    <w:rsid w:val="0EED74D6"/>
    <w:rsid w:val="101A7331"/>
    <w:rsid w:val="10C23766"/>
    <w:rsid w:val="12405819"/>
    <w:rsid w:val="1366623E"/>
    <w:rsid w:val="141B7A0D"/>
    <w:rsid w:val="143F00AF"/>
    <w:rsid w:val="148364FA"/>
    <w:rsid w:val="15FF11DD"/>
    <w:rsid w:val="172964C1"/>
    <w:rsid w:val="18085FAA"/>
    <w:rsid w:val="18420A9A"/>
    <w:rsid w:val="18B91FD8"/>
    <w:rsid w:val="19A43F2C"/>
    <w:rsid w:val="19F53ACB"/>
    <w:rsid w:val="1AD5032B"/>
    <w:rsid w:val="1B2B0E96"/>
    <w:rsid w:val="1B816820"/>
    <w:rsid w:val="1C9C18AD"/>
    <w:rsid w:val="1D932FAF"/>
    <w:rsid w:val="203F46B7"/>
    <w:rsid w:val="21DC404C"/>
    <w:rsid w:val="22DE15F0"/>
    <w:rsid w:val="23A75FF7"/>
    <w:rsid w:val="29E54BA8"/>
    <w:rsid w:val="2B227577"/>
    <w:rsid w:val="2D604645"/>
    <w:rsid w:val="322B13C4"/>
    <w:rsid w:val="32524BFD"/>
    <w:rsid w:val="325564F4"/>
    <w:rsid w:val="32941625"/>
    <w:rsid w:val="34713E2B"/>
    <w:rsid w:val="3566165A"/>
    <w:rsid w:val="37F05A73"/>
    <w:rsid w:val="397B7834"/>
    <w:rsid w:val="3DA6550E"/>
    <w:rsid w:val="403E55C3"/>
    <w:rsid w:val="417E5498"/>
    <w:rsid w:val="42DA39A5"/>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2C0BCB"/>
    <w:rsid w:val="53430FF2"/>
    <w:rsid w:val="53B660D6"/>
    <w:rsid w:val="53FA71B7"/>
    <w:rsid w:val="547D7D04"/>
    <w:rsid w:val="54BA6B11"/>
    <w:rsid w:val="54EA4E2E"/>
    <w:rsid w:val="56F905DC"/>
    <w:rsid w:val="581205EB"/>
    <w:rsid w:val="584329D8"/>
    <w:rsid w:val="59576BBE"/>
    <w:rsid w:val="59FF74EB"/>
    <w:rsid w:val="5AD073AA"/>
    <w:rsid w:val="5CF02C41"/>
    <w:rsid w:val="5D7C7E6A"/>
    <w:rsid w:val="5D852366"/>
    <w:rsid w:val="5E477B07"/>
    <w:rsid w:val="60292533"/>
    <w:rsid w:val="609F1484"/>
    <w:rsid w:val="61982C6F"/>
    <w:rsid w:val="62E1096C"/>
    <w:rsid w:val="63A54E09"/>
    <w:rsid w:val="659F79E0"/>
    <w:rsid w:val="68302B27"/>
    <w:rsid w:val="687C7AB9"/>
    <w:rsid w:val="68D41851"/>
    <w:rsid w:val="68F16528"/>
    <w:rsid w:val="69AA10F4"/>
    <w:rsid w:val="6A765B22"/>
    <w:rsid w:val="6D306395"/>
    <w:rsid w:val="6D5B678F"/>
    <w:rsid w:val="6EEE5BAF"/>
    <w:rsid w:val="708116AD"/>
    <w:rsid w:val="70BF50A1"/>
    <w:rsid w:val="722E2A61"/>
    <w:rsid w:val="73A8634F"/>
    <w:rsid w:val="73C31D4B"/>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2</TotalTime>
  <ScaleCrop>false</ScaleCrop>
  <LinksUpToDate>false</LinksUpToDate>
  <CharactersWithSpaces>11047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2021-11-29T03:48:04Z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9514EC1F7A4C4EA9AD00E4C8734527F1</vt:lpwstr>
  </property>
</Properties>
</file>