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rPr>
          <w:rFonts w:ascii="仿宋" w:hAnsi="仿宋" w:eastAsia="仿宋"/>
          <w:b/>
          <w:bCs/>
          <w:color w:val="auto"/>
          <w:sz w:val="24"/>
          <w:szCs w:val="24"/>
          <w:highlight w:val="none"/>
        </w:rPr>
      </w:pPr>
      <w:bookmarkStart w:id="3" w:name="_GoBack"/>
    </w:p>
    <w:p>
      <w:pPr>
        <w:spacing w:line="360" w:lineRule="auto"/>
        <w:ind w:left="0" w:leftChars="0" w:firstLine="0" w:firstLineChars="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lang w:eastAsia="zh-CN"/>
        </w:rPr>
        <w:t>南通高等师范学校附属小学2021年食堂、保洁劳务外包服务项目</w:t>
      </w:r>
      <w:r>
        <w:rPr>
          <w:rFonts w:hint="eastAsia" w:ascii="仿宋" w:hAnsi="仿宋" w:eastAsia="仿宋"/>
          <w:b/>
          <w:bCs/>
          <w:color w:val="auto"/>
          <w:sz w:val="40"/>
          <w:szCs w:val="40"/>
          <w:highlight w:val="none"/>
        </w:rPr>
        <w:t>竞争性磋商文件</w:t>
      </w:r>
    </w:p>
    <w:p>
      <w:pPr>
        <w:pStyle w:val="26"/>
        <w:ind w:firstLine="0"/>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spacing w:line="360" w:lineRule="auto"/>
        <w:jc w:val="center"/>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项目编号：NTXYCS20210</w:t>
      </w:r>
      <w:r>
        <w:rPr>
          <w:rFonts w:hint="eastAsia" w:ascii="仿宋" w:hAnsi="仿宋" w:eastAsia="仿宋"/>
          <w:b/>
          <w:bCs/>
          <w:color w:val="auto"/>
          <w:sz w:val="32"/>
          <w:szCs w:val="32"/>
          <w:highlight w:val="none"/>
          <w:lang w:val="en-US" w:eastAsia="zh-CN"/>
        </w:rPr>
        <w:t>83</w:t>
      </w:r>
    </w:p>
    <w:p>
      <w:pPr>
        <w:widowControl/>
        <w:shd w:val="clear" w:color="auto" w:fill="FFFFFF"/>
        <w:spacing w:before="150" w:after="150" w:line="390" w:lineRule="atLeast"/>
        <w:ind w:firstLine="964" w:firstLineChars="300"/>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pPr>
        <w:pStyle w:val="26"/>
        <w:ind w:firstLine="1807" w:firstLineChars="500"/>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t xml:space="preserve"> </w:t>
      </w:r>
    </w:p>
    <w:p>
      <w:pPr>
        <w:pStyle w:val="26"/>
        <w:ind w:firstLine="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pStyle w:val="26"/>
        <w:ind w:firstLine="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pStyle w:val="26"/>
        <w:ind w:firstLine="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pStyle w:val="26"/>
        <w:ind w:firstLine="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pStyle w:val="26"/>
        <w:ind w:firstLine="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pStyle w:val="26"/>
        <w:ind w:firstLine="0"/>
        <w:jc w:val="center"/>
        <w:rPr>
          <w:rFonts w:hint="eastAsia" w:ascii="仿宋" w:hAnsi="仿宋" w:eastAsia="仿宋"/>
          <w:b/>
          <w:bCs/>
          <w:color w:val="auto"/>
          <w:sz w:val="40"/>
          <w:szCs w:val="40"/>
          <w:highlight w:val="none"/>
        </w:rPr>
      </w:pPr>
      <w:r>
        <w:rPr>
          <w:rFonts w:hint="eastAsia" w:ascii="仿宋" w:hAnsi="仿宋" w:eastAsia="仿宋"/>
          <w:b/>
          <w:bCs/>
          <w:color w:val="auto"/>
          <w:sz w:val="40"/>
          <w:szCs w:val="40"/>
          <w:highlight w:val="none"/>
        </w:rPr>
        <w:t xml:space="preserve"> </w:t>
      </w:r>
    </w:p>
    <w:p>
      <w:pPr>
        <w:pStyle w:val="26"/>
        <w:ind w:left="785" w:leftChars="374" w:firstLine="0" w:firstLineChars="0"/>
        <w:rPr>
          <w:rFonts w:hint="default" w:ascii="仿宋" w:hAnsi="仿宋" w:eastAsia="仿宋"/>
          <w:b/>
          <w:bCs/>
          <w:color w:val="auto"/>
          <w:sz w:val="32"/>
          <w:szCs w:val="32"/>
          <w:highlight w:val="none"/>
          <w:u w:val="single"/>
          <w:lang w:val="en-US" w:eastAsia="zh-CN"/>
        </w:rPr>
      </w:pPr>
      <w:r>
        <w:rPr>
          <w:rFonts w:hint="eastAsia" w:ascii="仿宋" w:hAnsi="仿宋" w:eastAsia="仿宋"/>
          <w:b/>
          <w:bCs/>
          <w:color w:val="auto"/>
          <w:sz w:val="32"/>
          <w:szCs w:val="32"/>
          <w:highlight w:val="none"/>
        </w:rPr>
        <w:t>采   购  人 :</w:t>
      </w:r>
      <w:r>
        <w:rPr>
          <w:rFonts w:hint="eastAsia" w:ascii="仿宋" w:hAnsi="仿宋" w:eastAsia="仿宋"/>
          <w:b/>
          <w:bCs/>
          <w:color w:val="auto"/>
          <w:sz w:val="32"/>
          <w:szCs w:val="32"/>
          <w:highlight w:val="none"/>
          <w:lang w:val="en-US" w:eastAsia="zh-CN"/>
        </w:rPr>
        <w:t xml:space="preserve"> </w:t>
      </w:r>
      <w:r>
        <w:rPr>
          <w:rFonts w:hint="eastAsia" w:ascii="仿宋" w:hAnsi="仿宋" w:eastAsia="仿宋"/>
          <w:b/>
          <w:bCs/>
          <w:color w:val="auto"/>
          <w:sz w:val="32"/>
          <w:szCs w:val="32"/>
          <w:highlight w:val="none"/>
          <w:u w:val="single"/>
          <w:lang w:val="en-US" w:eastAsia="zh-CN"/>
        </w:rPr>
        <w:t xml:space="preserve">  </w:t>
      </w:r>
      <w:r>
        <w:rPr>
          <w:rFonts w:hint="eastAsia" w:ascii="仿宋" w:hAnsi="仿宋" w:eastAsia="仿宋"/>
          <w:b/>
          <w:bCs/>
          <w:color w:val="auto"/>
          <w:sz w:val="32"/>
          <w:szCs w:val="32"/>
          <w:highlight w:val="none"/>
          <w:u w:val="single"/>
          <w:lang w:eastAsia="zh-CN"/>
        </w:rPr>
        <w:t>南通高等师范学校附属小学</w:t>
      </w:r>
      <w:r>
        <w:rPr>
          <w:rFonts w:hint="eastAsia" w:ascii="仿宋" w:hAnsi="仿宋" w:eastAsia="仿宋"/>
          <w:b/>
          <w:bCs/>
          <w:color w:val="auto"/>
          <w:sz w:val="32"/>
          <w:szCs w:val="32"/>
          <w:highlight w:val="none"/>
          <w:u w:val="single"/>
          <w:lang w:val="en-US" w:eastAsia="zh-CN"/>
        </w:rPr>
        <w:t xml:space="preserve">    </w:t>
      </w:r>
      <w:r>
        <w:rPr>
          <w:rFonts w:hint="eastAsia" w:ascii="仿宋" w:hAnsi="仿宋" w:eastAsia="仿宋"/>
          <w:b/>
          <w:bCs/>
          <w:color w:val="auto"/>
          <w:sz w:val="32"/>
          <w:szCs w:val="32"/>
          <w:highlight w:val="none"/>
          <w:u w:val="none"/>
          <w:lang w:val="en-US" w:eastAsia="zh-CN"/>
        </w:rPr>
        <w:t xml:space="preserve"> </w:t>
      </w:r>
    </w:p>
    <w:p>
      <w:pPr>
        <w:pStyle w:val="26"/>
        <w:ind w:left="785" w:leftChars="374" w:firstLine="0" w:firstLineChars="0"/>
        <w:rPr>
          <w:rFonts w:hint="eastAsia" w:ascii="仿宋" w:hAnsi="仿宋" w:eastAsia="仿宋"/>
          <w:b/>
          <w:bCs/>
          <w:color w:val="auto"/>
          <w:sz w:val="32"/>
          <w:szCs w:val="32"/>
          <w:highlight w:val="none"/>
          <w:u w:val="single"/>
        </w:rPr>
      </w:pPr>
      <w:r>
        <w:rPr>
          <w:rFonts w:hint="eastAsia" w:ascii="仿宋" w:hAnsi="仿宋" w:eastAsia="仿宋"/>
          <w:b/>
          <w:bCs/>
          <w:color w:val="auto"/>
          <w:sz w:val="32"/>
          <w:szCs w:val="32"/>
          <w:highlight w:val="none"/>
        </w:rPr>
        <w:t>招标代理机构:</w:t>
      </w:r>
      <w:r>
        <w:rPr>
          <w:rFonts w:hint="eastAsia" w:ascii="仿宋" w:hAnsi="仿宋" w:eastAsia="仿宋"/>
          <w:b/>
          <w:bCs/>
          <w:color w:val="auto"/>
          <w:sz w:val="32"/>
          <w:szCs w:val="32"/>
          <w:highlight w:val="none"/>
          <w:u w:val="single"/>
        </w:rPr>
        <w:t>苏州新一造价师价格事务所有限公司</w:t>
      </w:r>
    </w:p>
    <w:p>
      <w:pPr>
        <w:autoSpaceDE w:val="0"/>
        <w:autoSpaceDN w:val="0"/>
        <w:adjustRightInd w:val="0"/>
        <w:snapToGrid w:val="0"/>
        <w:spacing w:line="360" w:lineRule="auto"/>
        <w:ind w:firstLine="803" w:firstLineChars="250"/>
        <w:rPr>
          <w:rFonts w:hint="default" w:ascii="仿宋" w:hAnsi="仿宋" w:eastAsia="仿宋"/>
          <w:b/>
          <w:bCs/>
          <w:color w:val="auto"/>
          <w:kern w:val="0"/>
          <w:sz w:val="32"/>
          <w:szCs w:val="32"/>
          <w:highlight w:val="none"/>
          <w:u w:val="single"/>
          <w:lang w:val="en-US" w:eastAsia="zh-CN"/>
        </w:rPr>
      </w:pPr>
      <w:r>
        <w:rPr>
          <w:rFonts w:hint="eastAsia" w:ascii="仿宋" w:hAnsi="仿宋" w:eastAsia="仿宋"/>
          <w:b/>
          <w:bCs/>
          <w:color w:val="auto"/>
          <w:kern w:val="0"/>
          <w:sz w:val="32"/>
          <w:szCs w:val="32"/>
          <w:highlight w:val="none"/>
        </w:rPr>
        <w:t>日       期 :</w:t>
      </w:r>
      <w:r>
        <w:rPr>
          <w:rFonts w:hint="eastAsia" w:ascii="仿宋" w:hAnsi="仿宋" w:eastAsia="仿宋"/>
          <w:b/>
          <w:bCs/>
          <w:color w:val="auto"/>
          <w:kern w:val="0"/>
          <w:sz w:val="32"/>
          <w:szCs w:val="32"/>
          <w:highlight w:val="none"/>
          <w:u w:val="single"/>
          <w:lang w:val="en-US" w:eastAsia="zh-CN"/>
        </w:rPr>
        <w:t xml:space="preserve">     </w:t>
      </w:r>
      <w:r>
        <w:rPr>
          <w:rFonts w:hint="eastAsia" w:ascii="仿宋" w:hAnsi="仿宋" w:eastAsia="仿宋"/>
          <w:b/>
          <w:bCs/>
          <w:color w:val="auto"/>
          <w:kern w:val="0"/>
          <w:sz w:val="32"/>
          <w:szCs w:val="32"/>
          <w:highlight w:val="none"/>
          <w:u w:val="single"/>
        </w:rPr>
        <w:t>2021</w:t>
      </w:r>
      <w:r>
        <w:rPr>
          <w:rFonts w:hint="eastAsia" w:ascii="仿宋" w:hAnsi="仿宋" w:eastAsia="仿宋"/>
          <w:b/>
          <w:bCs/>
          <w:color w:val="auto"/>
          <w:kern w:val="0"/>
          <w:sz w:val="32"/>
          <w:szCs w:val="32"/>
          <w:highlight w:val="none"/>
          <w:u w:val="single"/>
          <w:lang w:val="en-US" w:eastAsia="zh-CN"/>
        </w:rPr>
        <w:t xml:space="preserve"> </w:t>
      </w:r>
      <w:r>
        <w:rPr>
          <w:rFonts w:hint="eastAsia" w:ascii="仿宋" w:hAnsi="仿宋" w:eastAsia="仿宋"/>
          <w:b/>
          <w:bCs/>
          <w:color w:val="auto"/>
          <w:kern w:val="0"/>
          <w:sz w:val="32"/>
          <w:szCs w:val="32"/>
          <w:highlight w:val="none"/>
          <w:u w:val="single"/>
        </w:rPr>
        <w:t>年</w:t>
      </w:r>
      <w:r>
        <w:rPr>
          <w:rFonts w:hint="eastAsia" w:ascii="仿宋" w:hAnsi="仿宋" w:eastAsia="仿宋"/>
          <w:b/>
          <w:bCs/>
          <w:color w:val="auto"/>
          <w:kern w:val="0"/>
          <w:sz w:val="32"/>
          <w:szCs w:val="32"/>
          <w:highlight w:val="none"/>
          <w:u w:val="single"/>
          <w:lang w:val="en-US" w:eastAsia="zh-CN"/>
        </w:rPr>
        <w:t xml:space="preserve"> 8 </w:t>
      </w:r>
      <w:r>
        <w:rPr>
          <w:rFonts w:hint="eastAsia" w:ascii="仿宋" w:hAnsi="仿宋" w:eastAsia="仿宋"/>
          <w:b/>
          <w:bCs/>
          <w:color w:val="auto"/>
          <w:kern w:val="0"/>
          <w:sz w:val="32"/>
          <w:szCs w:val="32"/>
          <w:highlight w:val="none"/>
          <w:u w:val="single"/>
        </w:rPr>
        <w:t>月</w:t>
      </w:r>
      <w:r>
        <w:rPr>
          <w:rFonts w:hint="eastAsia" w:ascii="仿宋" w:hAnsi="仿宋" w:eastAsia="仿宋"/>
          <w:b/>
          <w:bCs/>
          <w:color w:val="auto"/>
          <w:kern w:val="0"/>
          <w:sz w:val="32"/>
          <w:szCs w:val="32"/>
          <w:highlight w:val="none"/>
          <w:u w:val="single"/>
          <w:lang w:val="en-US" w:eastAsia="zh-CN"/>
        </w:rPr>
        <w:t>20</w:t>
      </w:r>
      <w:r>
        <w:rPr>
          <w:rFonts w:hint="eastAsia" w:ascii="仿宋" w:hAnsi="仿宋" w:eastAsia="仿宋"/>
          <w:b/>
          <w:bCs/>
          <w:color w:val="auto"/>
          <w:kern w:val="0"/>
          <w:sz w:val="32"/>
          <w:szCs w:val="32"/>
          <w:highlight w:val="none"/>
          <w:u w:val="single"/>
        </w:rPr>
        <w:t>日</w:t>
      </w:r>
      <w:r>
        <w:rPr>
          <w:rFonts w:hint="eastAsia" w:ascii="仿宋" w:hAnsi="仿宋" w:eastAsia="仿宋"/>
          <w:b/>
          <w:bCs/>
          <w:color w:val="auto"/>
          <w:kern w:val="0"/>
          <w:sz w:val="32"/>
          <w:szCs w:val="32"/>
          <w:highlight w:val="none"/>
          <w:u w:val="single"/>
          <w:lang w:val="en-US" w:eastAsia="zh-CN"/>
        </w:rPr>
        <w:t xml:space="preserve">        </w:t>
      </w:r>
    </w:p>
    <w:p>
      <w:pPr>
        <w:pStyle w:val="26"/>
        <w:ind w:firstLine="0"/>
        <w:jc w:val="both"/>
        <w:rPr>
          <w:rFonts w:hint="eastAsia" w:ascii="仿宋" w:hAnsi="仿宋" w:eastAsia="仿宋"/>
          <w:b/>
          <w:bCs/>
          <w:color w:val="auto"/>
          <w:highlight w:val="none"/>
        </w:rPr>
      </w:pPr>
      <w:r>
        <w:rPr>
          <w:rFonts w:hint="eastAsia" w:ascii="仿宋" w:hAnsi="仿宋" w:eastAsia="仿宋"/>
          <w:b/>
          <w:bCs/>
          <w:color w:val="auto"/>
          <w:highlight w:val="none"/>
        </w:rPr>
        <w:t xml:space="preserve"> </w:t>
      </w:r>
    </w:p>
    <w:p>
      <w:pPr>
        <w:widowControl/>
        <w:spacing w:line="360" w:lineRule="auto"/>
        <w:jc w:val="center"/>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br w:type="page"/>
      </w:r>
    </w:p>
    <w:p>
      <w:pPr>
        <w:widowControl/>
        <w:spacing w:line="360" w:lineRule="auto"/>
        <w:jc w:val="center"/>
        <w:outlineLvl w:val="0"/>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t>目录</w:t>
      </w:r>
    </w:p>
    <w:p>
      <w:pPr>
        <w:spacing w:line="360" w:lineRule="auto"/>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第一章</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竞争性磋商</w:t>
      </w:r>
      <w:r>
        <w:rPr>
          <w:rFonts w:hint="eastAsia" w:ascii="仿宋" w:hAnsi="仿宋" w:eastAsia="仿宋"/>
          <w:color w:val="auto"/>
          <w:sz w:val="28"/>
          <w:szCs w:val="28"/>
          <w:highlight w:val="none"/>
          <w:lang w:eastAsia="zh-CN"/>
        </w:rPr>
        <w:t>公告</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第二章</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磋商须知</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第三章</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合同条款及格式</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第四章</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项目</w:t>
      </w:r>
      <w:r>
        <w:rPr>
          <w:rFonts w:hint="eastAsia" w:ascii="仿宋" w:hAnsi="仿宋" w:eastAsia="仿宋"/>
          <w:color w:val="auto"/>
          <w:sz w:val="28"/>
          <w:szCs w:val="28"/>
          <w:highlight w:val="none"/>
          <w:lang w:eastAsia="zh-CN"/>
        </w:rPr>
        <w:t>需求</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第五章</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资格审查</w:t>
      </w:r>
    </w:p>
    <w:p>
      <w:pPr>
        <w:pStyle w:val="27"/>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第六章</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磋商办法（综合评分法）</w:t>
      </w:r>
    </w:p>
    <w:p>
      <w:pPr>
        <w:spacing w:before="0" w:after="0" w:line="360" w:lineRule="auto"/>
        <w:ind w:firstLine="560" w:firstLineChars="200"/>
        <w:jc w:val="left"/>
        <w:outlineLvl w:val="9"/>
        <w:rPr>
          <w:rFonts w:hint="eastAsia"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rPr>
        <w:t>第七章</w:t>
      </w:r>
      <w:r>
        <w:rPr>
          <w:rFonts w:hint="eastAsia" w:ascii="仿宋" w:hAnsi="仿宋" w:eastAsia="仿宋"/>
          <w:b w:val="0"/>
          <w:bCs w:val="0"/>
          <w:color w:val="auto"/>
          <w:sz w:val="28"/>
          <w:szCs w:val="28"/>
          <w:highlight w:val="none"/>
          <w:lang w:val="en-US" w:eastAsia="zh-CN"/>
        </w:rPr>
        <w:t xml:space="preserve"> </w:t>
      </w:r>
      <w:r>
        <w:rPr>
          <w:rFonts w:hint="eastAsia" w:ascii="仿宋" w:hAnsi="仿宋" w:eastAsia="仿宋"/>
          <w:b w:val="0"/>
          <w:bCs w:val="0"/>
          <w:color w:val="auto"/>
          <w:sz w:val="28"/>
          <w:szCs w:val="28"/>
          <w:highlight w:val="none"/>
        </w:rPr>
        <w:t>竞争性供应商响应文件组成</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widowControl/>
        <w:spacing w:line="360" w:lineRule="auto"/>
        <w:jc w:val="lef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br w:type="page"/>
      </w:r>
    </w:p>
    <w:p>
      <w:pPr>
        <w:widowControl/>
        <w:spacing w:line="360" w:lineRule="auto"/>
        <w:jc w:val="center"/>
        <w:rPr>
          <w:rFonts w:hint="eastAsia" w:ascii="仿宋" w:hAnsi="仿宋" w:eastAsia="仿宋"/>
          <w:b/>
          <w:bCs/>
          <w:color w:val="auto"/>
          <w:sz w:val="28"/>
          <w:szCs w:val="28"/>
          <w:highlight w:val="none"/>
        </w:rPr>
      </w:pPr>
    </w:p>
    <w:p>
      <w:pPr>
        <w:widowControl/>
        <w:spacing w:line="360" w:lineRule="auto"/>
        <w:jc w:val="center"/>
        <w:rPr>
          <w:rFonts w:hint="eastAsia" w:ascii="仿宋" w:hAnsi="仿宋" w:eastAsia="仿宋"/>
          <w:b/>
          <w:bCs/>
          <w:color w:val="auto"/>
          <w:sz w:val="28"/>
          <w:szCs w:val="28"/>
          <w:highlight w:val="none"/>
        </w:rPr>
      </w:pPr>
      <w:r>
        <w:rPr>
          <w:rFonts w:hint="eastAsia" w:ascii="仿宋" w:hAnsi="仿宋" w:eastAsia="仿宋"/>
          <w:b/>
          <w:bCs/>
          <w:color w:val="auto"/>
          <w:kern w:val="0"/>
          <w:sz w:val="28"/>
          <w:szCs w:val="28"/>
          <w:highlight w:val="none"/>
        </w:rPr>
        <w:t>竞争性磋商文件备案表</w:t>
      </w:r>
    </w:p>
    <w:tbl>
      <w:tblPr>
        <w:tblStyle w:val="13"/>
        <w:tblW w:w="8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3"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z w:val="24"/>
                <w:szCs w:val="24"/>
                <w:highlight w:val="none"/>
              </w:rPr>
            </w:pPr>
          </w:p>
          <w:p>
            <w:pPr>
              <w:spacing w:line="360" w:lineRule="auto"/>
              <w:ind w:firstLine="4800" w:firstLineChars="20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编制人：陈蕾</w:t>
            </w:r>
          </w:p>
          <w:p>
            <w:pPr>
              <w:spacing w:line="360" w:lineRule="auto"/>
              <w:jc w:val="center"/>
              <w:rPr>
                <w:rFonts w:hint="eastAsia" w:ascii="仿宋" w:hAnsi="仿宋" w:eastAsia="仿宋"/>
                <w:color w:val="auto"/>
                <w:sz w:val="24"/>
                <w:szCs w:val="24"/>
                <w:highlight w:val="none"/>
              </w:rPr>
            </w:pPr>
          </w:p>
          <w:p>
            <w:pPr>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 2021年0</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 xml:space="preserve">20 </w:t>
            </w:r>
            <w:r>
              <w:rPr>
                <w:rFonts w:hint="eastAsia" w:ascii="仿宋" w:hAnsi="仿宋" w:eastAsia="仿宋"/>
                <w:color w:val="auto"/>
                <w:sz w:val="24"/>
                <w:szCs w:val="24"/>
                <w:highlight w:val="none"/>
              </w:rPr>
              <w:t>日</w:t>
            </w:r>
          </w:p>
          <w:p>
            <w:pPr>
              <w:pStyle w:val="12"/>
              <w:spacing w:line="360" w:lineRule="auto"/>
              <w:ind w:left="0" w:leftChars="0" w:firstLine="480"/>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0"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olor w:val="auto"/>
                <w:sz w:val="24"/>
                <w:szCs w:val="24"/>
                <w:highlight w:val="none"/>
              </w:rPr>
            </w:pPr>
          </w:p>
          <w:p>
            <w:pPr>
              <w:spacing w:line="360" w:lineRule="auto"/>
              <w:rPr>
                <w:rFonts w:hint="eastAsia" w:ascii="仿宋" w:hAnsi="仿宋" w:eastAsia="仿宋"/>
                <w:color w:val="auto"/>
                <w:sz w:val="24"/>
                <w:szCs w:val="24"/>
                <w:highlight w:val="none"/>
              </w:rPr>
            </w:pPr>
          </w:p>
          <w:p>
            <w:pPr>
              <w:pStyle w:val="12"/>
              <w:spacing w:line="360" w:lineRule="auto"/>
              <w:ind w:firstLine="480"/>
              <w:rPr>
                <w:rFonts w:hint="eastAsia" w:ascii="仿宋" w:hAnsi="仿宋" w:eastAsia="仿宋"/>
                <w:color w:val="auto"/>
                <w:sz w:val="24"/>
                <w:szCs w:val="24"/>
                <w:highlight w:val="none"/>
              </w:rPr>
            </w:pPr>
          </w:p>
          <w:p>
            <w:pPr>
              <w:spacing w:line="360" w:lineRule="auto"/>
              <w:ind w:firstLine="960" w:firstLineChars="4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采购人(盖章)             </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代表人(签字)</w:t>
            </w:r>
          </w:p>
          <w:p>
            <w:pPr>
              <w:spacing w:line="360" w:lineRule="auto"/>
              <w:jc w:val="center"/>
              <w:rPr>
                <w:rFonts w:hint="eastAsia" w:ascii="仿宋" w:hAnsi="仿宋" w:eastAsia="仿宋"/>
                <w:color w:val="auto"/>
                <w:sz w:val="24"/>
                <w:szCs w:val="24"/>
                <w:highlight w:val="none"/>
              </w:rPr>
            </w:pPr>
          </w:p>
          <w:p>
            <w:pPr>
              <w:pStyle w:val="12"/>
              <w:spacing w:line="360" w:lineRule="auto"/>
              <w:ind w:firstLine="480"/>
              <w:rPr>
                <w:rFonts w:hint="eastAsia" w:ascii="仿宋" w:hAnsi="仿宋" w:eastAsia="仿宋"/>
                <w:color w:val="auto"/>
                <w:sz w:val="24"/>
                <w:szCs w:val="24"/>
                <w:highlight w:val="none"/>
              </w:rPr>
            </w:pPr>
          </w:p>
          <w:p>
            <w:pPr>
              <w:spacing w:line="360" w:lineRule="auto"/>
              <w:ind w:firstLine="480" w:firstLineChars="200"/>
              <w:rPr>
                <w:rFonts w:hint="eastAsia" w:ascii="仿宋" w:hAnsi="仿宋" w:eastAsia="仿宋"/>
                <w:color w:val="auto"/>
                <w:sz w:val="24"/>
                <w:szCs w:val="24"/>
                <w:highlight w:val="none"/>
              </w:rPr>
            </w:pPr>
          </w:p>
          <w:p>
            <w:pPr>
              <w:spacing w:line="360" w:lineRule="auto"/>
              <w:ind w:firstLine="3360" w:firstLineChars="14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 2021年 0</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 xml:space="preserve"> 20 </w:t>
            </w:r>
            <w:r>
              <w:rPr>
                <w:rFonts w:hint="eastAsia" w:ascii="仿宋" w:hAnsi="仿宋" w:eastAsia="仿宋"/>
                <w:color w:val="auto"/>
                <w:sz w:val="24"/>
                <w:szCs w:val="24"/>
                <w:highlight w:val="none"/>
              </w:rPr>
              <w:t>日</w:t>
            </w:r>
          </w:p>
          <w:p>
            <w:pPr>
              <w:spacing w:line="360" w:lineRule="auto"/>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24"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olor w:val="auto"/>
                <w:sz w:val="24"/>
                <w:szCs w:val="24"/>
                <w:highlight w:val="none"/>
              </w:rPr>
            </w:pPr>
          </w:p>
          <w:p>
            <w:pPr>
              <w:spacing w:line="360" w:lineRule="auto"/>
              <w:ind w:firstLine="1440" w:firstLineChars="6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招标代理机构(盖章)        法定代表人(签字)</w:t>
            </w:r>
          </w:p>
          <w:p>
            <w:pPr>
              <w:spacing w:line="360" w:lineRule="auto"/>
              <w:ind w:firstLine="560"/>
              <w:jc w:val="center"/>
              <w:rPr>
                <w:rFonts w:hint="eastAsia" w:ascii="仿宋" w:hAnsi="仿宋" w:eastAsia="仿宋"/>
                <w:color w:val="auto"/>
                <w:sz w:val="24"/>
                <w:szCs w:val="24"/>
                <w:highlight w:val="none"/>
              </w:rPr>
            </w:pPr>
          </w:p>
          <w:p>
            <w:pPr>
              <w:spacing w:line="360" w:lineRule="auto"/>
              <w:ind w:firstLine="3360" w:firstLineChars="1400"/>
              <w:rPr>
                <w:rFonts w:hint="eastAsia" w:ascii="仿宋" w:hAnsi="仿宋" w:eastAsia="仿宋"/>
                <w:color w:val="auto"/>
                <w:sz w:val="24"/>
                <w:szCs w:val="24"/>
                <w:highlight w:val="none"/>
              </w:rPr>
            </w:pPr>
          </w:p>
          <w:p>
            <w:pPr>
              <w:spacing w:line="360" w:lineRule="auto"/>
              <w:ind w:firstLine="3360" w:firstLineChars="14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 2021年0</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 xml:space="preserve"> 月</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日</w:t>
            </w:r>
          </w:p>
          <w:p>
            <w:pPr>
              <w:spacing w:line="360" w:lineRule="auto"/>
              <w:jc w:val="center"/>
              <w:rPr>
                <w:rFonts w:hint="eastAsia" w:ascii="仿宋" w:hAnsi="仿宋" w:eastAsia="仿宋"/>
                <w:color w:val="auto"/>
                <w:sz w:val="24"/>
                <w:szCs w:val="24"/>
                <w:highlight w:val="none"/>
              </w:rPr>
            </w:pPr>
          </w:p>
          <w:p>
            <w:pPr>
              <w:pStyle w:val="2"/>
              <w:rPr>
                <w:rFonts w:ascii="仿宋" w:hAnsi="仿宋" w:eastAsia="仿宋"/>
                <w:color w:val="auto"/>
                <w:highlight w:val="none"/>
              </w:rPr>
            </w:pPr>
          </w:p>
        </w:tc>
      </w:tr>
    </w:tbl>
    <w:p>
      <w:pPr>
        <w:pStyle w:val="2"/>
        <w:jc w:val="center"/>
        <w:rPr>
          <w:rFonts w:hint="eastAsia" w:ascii="仿宋" w:hAnsi="仿宋" w:eastAsia="仿宋"/>
          <w:b/>
          <w:bCs/>
          <w:color w:val="auto"/>
          <w:sz w:val="28"/>
          <w:szCs w:val="28"/>
          <w:highlight w:val="none"/>
          <w:lang w:eastAsia="zh-CN"/>
        </w:rPr>
      </w:pPr>
    </w:p>
    <w:p>
      <w:pPr>
        <w:spacing w:line="360" w:lineRule="auto"/>
        <w:jc w:val="both"/>
        <w:outlineLvl w:val="0"/>
        <w:rPr>
          <w:rFonts w:hint="eastAsia" w:ascii="仿宋" w:hAnsi="仿宋" w:eastAsia="仿宋"/>
          <w:b/>
          <w:bCs/>
          <w:color w:val="auto"/>
          <w:sz w:val="32"/>
          <w:szCs w:val="32"/>
          <w:highlight w:val="none"/>
        </w:rPr>
      </w:pPr>
    </w:p>
    <w:p>
      <w:pPr>
        <w:spacing w:line="360" w:lineRule="auto"/>
        <w:jc w:val="center"/>
        <w:outlineLvl w:val="0"/>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第一章</w:t>
      </w:r>
      <w:r>
        <w:rPr>
          <w:rFonts w:hint="eastAsia" w:ascii="仿宋" w:hAnsi="仿宋" w:eastAsia="仿宋"/>
          <w:b/>
          <w:bCs/>
          <w:color w:val="auto"/>
          <w:sz w:val="32"/>
          <w:szCs w:val="32"/>
          <w:highlight w:val="none"/>
          <w:lang w:val="en-US" w:eastAsia="zh-CN"/>
        </w:rPr>
        <w:t xml:space="preserve"> </w:t>
      </w:r>
      <w:r>
        <w:rPr>
          <w:rFonts w:hint="eastAsia" w:ascii="仿宋" w:hAnsi="仿宋" w:eastAsia="仿宋"/>
          <w:b/>
          <w:bCs/>
          <w:color w:val="auto"/>
          <w:kern w:val="44"/>
          <w:sz w:val="32"/>
          <w:szCs w:val="32"/>
          <w:highlight w:val="none"/>
        </w:rPr>
        <w:t>竞争性磋商公告</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rPr>
                <w:rFonts w:ascii="仿宋" w:hAnsi="仿宋" w:eastAsia="仿宋"/>
                <w:color w:val="auto"/>
                <w:kern w:val="2"/>
                <w:sz w:val="24"/>
                <w:szCs w:val="24"/>
                <w:highlight w:val="none"/>
              </w:rPr>
            </w:pPr>
            <w:r>
              <w:rPr>
                <w:rFonts w:hint="eastAsia" w:ascii="仿宋" w:hAnsi="仿宋" w:eastAsia="仿宋"/>
                <w:color w:val="auto"/>
                <w:kern w:val="0"/>
                <w:sz w:val="24"/>
                <w:szCs w:val="24"/>
                <w:highlight w:val="none"/>
              </w:rPr>
              <w:t>项目概况</w:t>
            </w:r>
          </w:p>
          <w:p>
            <w:pPr>
              <w:widowControl/>
              <w:spacing w:line="440" w:lineRule="exact"/>
              <w:rPr>
                <w:rFonts w:ascii="仿宋" w:hAnsi="仿宋" w:eastAsia="仿宋"/>
                <w:b/>
                <w:bCs/>
                <w:color w:val="auto"/>
                <w:kern w:val="2"/>
                <w:sz w:val="24"/>
                <w:szCs w:val="24"/>
                <w:highlight w:val="none"/>
                <w:u w:val="single"/>
              </w:rPr>
            </w:pPr>
            <w:r>
              <w:rPr>
                <w:rFonts w:hint="eastAsia" w:ascii="仿宋" w:hAnsi="仿宋" w:eastAsia="仿宋"/>
                <w:b/>
                <w:bCs/>
                <w:color w:val="auto"/>
                <w:kern w:val="0"/>
                <w:sz w:val="24"/>
                <w:szCs w:val="24"/>
                <w:highlight w:val="none"/>
                <w:u w:val="single"/>
                <w:lang w:eastAsia="zh-CN"/>
              </w:rPr>
              <w:t>南通高等师范学校附属小学2021年食堂、保洁劳务外包服务项目</w:t>
            </w:r>
            <w:r>
              <w:rPr>
                <w:rFonts w:hint="eastAsia" w:ascii="仿宋" w:hAnsi="仿宋" w:eastAsia="仿宋"/>
                <w:color w:val="auto"/>
                <w:kern w:val="0"/>
                <w:sz w:val="24"/>
                <w:szCs w:val="24"/>
                <w:highlight w:val="none"/>
              </w:rPr>
              <w:t>的潜在供应商应</w:t>
            </w:r>
            <w:r>
              <w:rPr>
                <w:rFonts w:hint="eastAsia" w:ascii="仿宋" w:hAnsi="仿宋" w:eastAsia="仿宋"/>
                <w:color w:val="auto"/>
                <w:kern w:val="0"/>
                <w:sz w:val="24"/>
                <w:szCs w:val="24"/>
                <w:highlight w:val="none"/>
                <w:u w:val="single"/>
              </w:rPr>
              <w:t>直接从</w:t>
            </w:r>
            <w:r>
              <w:rPr>
                <w:rFonts w:hint="eastAsia" w:ascii="仿宋" w:hAnsi="仿宋" w:eastAsia="仿宋"/>
                <w:color w:val="auto"/>
                <w:kern w:val="0"/>
                <w:sz w:val="24"/>
                <w:szCs w:val="24"/>
                <w:highlight w:val="none"/>
                <w:u w:val="single"/>
                <w:lang w:eastAsia="zh-CN"/>
              </w:rPr>
              <w:t>南通开发区教育网（http://www.ntkfqjy.com/）</w:t>
            </w:r>
            <w:r>
              <w:rPr>
                <w:rFonts w:hint="eastAsia" w:ascii="仿宋" w:hAnsi="仿宋" w:eastAsia="仿宋"/>
                <w:color w:val="auto"/>
                <w:kern w:val="0"/>
                <w:sz w:val="24"/>
                <w:szCs w:val="24"/>
                <w:highlight w:val="none"/>
              </w:rPr>
              <w:t>自行下载磋商文件。并于</w:t>
            </w:r>
            <w:r>
              <w:rPr>
                <w:rFonts w:hint="eastAsia" w:ascii="仿宋" w:hAnsi="仿宋" w:eastAsia="仿宋"/>
                <w:color w:val="auto"/>
                <w:kern w:val="0"/>
                <w:sz w:val="24"/>
                <w:szCs w:val="24"/>
                <w:highlight w:val="none"/>
                <w:u w:val="single"/>
              </w:rPr>
              <w:t>2021年</w:t>
            </w:r>
            <w:r>
              <w:rPr>
                <w:rFonts w:hint="eastAsia" w:ascii="仿宋" w:hAnsi="仿宋" w:eastAsia="仿宋"/>
                <w:color w:val="auto"/>
                <w:kern w:val="0"/>
                <w:sz w:val="24"/>
                <w:szCs w:val="24"/>
                <w:highlight w:val="none"/>
                <w:u w:val="single"/>
                <w:lang w:val="en-US" w:eastAsia="zh-CN"/>
              </w:rPr>
              <w:t xml:space="preserve"> 8 </w:t>
            </w:r>
            <w:r>
              <w:rPr>
                <w:rFonts w:hint="eastAsia" w:ascii="仿宋" w:hAnsi="仿宋" w:eastAsia="仿宋"/>
                <w:color w:val="auto"/>
                <w:kern w:val="0"/>
                <w:sz w:val="24"/>
                <w:szCs w:val="24"/>
                <w:highlight w:val="none"/>
                <w:u w:val="single"/>
              </w:rPr>
              <w:t>月</w:t>
            </w:r>
            <w:r>
              <w:rPr>
                <w:rFonts w:hint="eastAsia" w:ascii="仿宋" w:hAnsi="仿宋" w:eastAsia="仿宋"/>
                <w:color w:val="auto"/>
                <w:kern w:val="0"/>
                <w:sz w:val="24"/>
                <w:szCs w:val="24"/>
                <w:highlight w:val="none"/>
                <w:u w:val="single"/>
                <w:lang w:val="en-US" w:eastAsia="zh-CN"/>
              </w:rPr>
              <w:t>31</w:t>
            </w:r>
            <w:r>
              <w:rPr>
                <w:rFonts w:hint="eastAsia" w:ascii="仿宋" w:hAnsi="仿宋" w:eastAsia="仿宋"/>
                <w:color w:val="auto"/>
                <w:kern w:val="0"/>
                <w:sz w:val="24"/>
                <w:szCs w:val="24"/>
                <w:highlight w:val="none"/>
                <w:u w:val="single"/>
              </w:rPr>
              <w:t xml:space="preserve">日 </w:t>
            </w:r>
            <w:r>
              <w:rPr>
                <w:rFonts w:hint="eastAsia" w:ascii="仿宋" w:hAnsi="仿宋" w:eastAsia="仿宋"/>
                <w:color w:val="auto"/>
                <w:kern w:val="0"/>
                <w:sz w:val="24"/>
                <w:szCs w:val="24"/>
                <w:highlight w:val="none"/>
                <w:u w:val="single"/>
                <w:lang w:val="en-US" w:eastAsia="zh-CN"/>
              </w:rPr>
              <w:t>15</w:t>
            </w:r>
            <w:r>
              <w:rPr>
                <w:rFonts w:hint="eastAsia" w:ascii="仿宋" w:hAnsi="仿宋" w:eastAsia="仿宋"/>
                <w:color w:val="auto"/>
                <w:kern w:val="0"/>
                <w:sz w:val="24"/>
                <w:szCs w:val="24"/>
                <w:highlight w:val="none"/>
                <w:u w:val="single"/>
              </w:rPr>
              <w:t xml:space="preserve"> 点</w:t>
            </w:r>
            <w:r>
              <w:rPr>
                <w:rFonts w:hint="eastAsia" w:ascii="仿宋" w:hAnsi="仿宋" w:eastAsia="仿宋"/>
                <w:color w:val="auto"/>
                <w:kern w:val="0"/>
                <w:sz w:val="24"/>
                <w:szCs w:val="24"/>
                <w:highlight w:val="none"/>
                <w:u w:val="single"/>
                <w:lang w:val="en-US" w:eastAsia="zh-CN"/>
              </w:rPr>
              <w:t>0</w:t>
            </w:r>
            <w:r>
              <w:rPr>
                <w:rFonts w:hint="eastAsia" w:ascii="仿宋" w:hAnsi="仿宋" w:eastAsia="仿宋"/>
                <w:color w:val="auto"/>
                <w:kern w:val="0"/>
                <w:sz w:val="24"/>
                <w:szCs w:val="24"/>
                <w:highlight w:val="none"/>
                <w:u w:val="single"/>
              </w:rPr>
              <w:t>0 分</w:t>
            </w:r>
            <w:r>
              <w:rPr>
                <w:rFonts w:hint="eastAsia" w:ascii="仿宋" w:hAnsi="仿宋" w:eastAsia="仿宋"/>
                <w:color w:val="auto"/>
                <w:kern w:val="0"/>
                <w:sz w:val="24"/>
                <w:szCs w:val="24"/>
                <w:highlight w:val="none"/>
              </w:rPr>
              <w:t>（北京时间）前提交响应文件。</w:t>
            </w:r>
          </w:p>
        </w:tc>
      </w:tr>
    </w:tbl>
    <w:p>
      <w:pPr>
        <w:keepNext/>
        <w:keepLines/>
        <w:spacing w:before="260" w:after="260" w:line="360" w:lineRule="auto"/>
        <w:outlineLvl w:val="1"/>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一、项目基本情况</w:t>
      </w:r>
    </w:p>
    <w:p>
      <w:pPr>
        <w:spacing w:line="360" w:lineRule="auto"/>
        <w:jc w:val="lef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1、项目编号：NTXYCS20210</w:t>
      </w:r>
      <w:r>
        <w:rPr>
          <w:rFonts w:hint="eastAsia" w:ascii="仿宋" w:hAnsi="仿宋" w:eastAsia="仿宋"/>
          <w:color w:val="auto"/>
          <w:sz w:val="24"/>
          <w:szCs w:val="24"/>
          <w:highlight w:val="none"/>
          <w:lang w:val="en-US" w:eastAsia="zh-CN"/>
        </w:rPr>
        <w:t>82</w:t>
      </w:r>
    </w:p>
    <w:p>
      <w:pPr>
        <w:spacing w:line="360" w:lineRule="auto"/>
        <w:jc w:val="left"/>
        <w:rPr>
          <w:rFonts w:hint="eastAsia" w:ascii="仿宋" w:hAnsi="仿宋" w:eastAsia="仿宋"/>
          <w:b/>
          <w:bCs/>
          <w:color w:val="auto"/>
          <w:sz w:val="24"/>
          <w:szCs w:val="24"/>
          <w:highlight w:val="none"/>
          <w:lang w:eastAsia="zh-CN"/>
        </w:rPr>
      </w:pPr>
      <w:r>
        <w:rPr>
          <w:rFonts w:hint="eastAsia" w:ascii="仿宋" w:hAnsi="仿宋" w:eastAsia="仿宋"/>
          <w:color w:val="auto"/>
          <w:sz w:val="24"/>
          <w:szCs w:val="24"/>
          <w:highlight w:val="none"/>
        </w:rPr>
        <w:t>2、项目名称：</w:t>
      </w:r>
      <w:r>
        <w:rPr>
          <w:rFonts w:hint="eastAsia" w:ascii="仿宋" w:hAnsi="仿宋" w:eastAsia="仿宋"/>
          <w:b/>
          <w:bCs/>
          <w:color w:val="auto"/>
          <w:sz w:val="24"/>
          <w:szCs w:val="24"/>
          <w:highlight w:val="none"/>
          <w:lang w:eastAsia="zh-CN"/>
        </w:rPr>
        <w:t>南通高等师范学校附属小学2021年食堂、保洁劳务外包服务项目</w:t>
      </w:r>
    </w:p>
    <w:p>
      <w:pPr>
        <w:spacing w:line="36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3、采购方式：竞争性磋商</w:t>
      </w:r>
    </w:p>
    <w:p>
      <w:pPr>
        <w:spacing w:line="36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4、预算金额：</w:t>
      </w:r>
      <w:r>
        <w:rPr>
          <w:rFonts w:hint="eastAsia" w:ascii="仿宋" w:hAnsi="仿宋" w:eastAsia="仿宋"/>
          <w:color w:val="auto"/>
          <w:sz w:val="24"/>
          <w:szCs w:val="24"/>
          <w:highlight w:val="none"/>
          <w:lang w:val="en-US" w:eastAsia="zh-CN"/>
        </w:rPr>
        <w:t>143</w:t>
      </w:r>
      <w:r>
        <w:rPr>
          <w:rFonts w:hint="eastAsia" w:ascii="仿宋" w:hAnsi="仿宋" w:eastAsia="仿宋"/>
          <w:color w:val="auto"/>
          <w:sz w:val="24"/>
          <w:szCs w:val="24"/>
          <w:highlight w:val="none"/>
        </w:rPr>
        <w:t>万元</w:t>
      </w:r>
      <w:r>
        <w:rPr>
          <w:rFonts w:hint="eastAsia" w:ascii="仿宋" w:hAnsi="仿宋" w:eastAsia="仿宋"/>
          <w:color w:val="auto"/>
          <w:sz w:val="24"/>
          <w:szCs w:val="24"/>
          <w:highlight w:val="none"/>
          <w:lang w:val="en-US" w:eastAsia="zh-CN"/>
        </w:rPr>
        <w:t>/年</w:t>
      </w:r>
      <w:r>
        <w:rPr>
          <w:rFonts w:hint="eastAsia" w:ascii="仿宋" w:hAnsi="仿宋" w:eastAsia="仿宋"/>
          <w:color w:val="auto"/>
          <w:sz w:val="24"/>
          <w:szCs w:val="24"/>
          <w:highlight w:val="none"/>
        </w:rPr>
        <w:t>。</w:t>
      </w:r>
    </w:p>
    <w:p>
      <w:pPr>
        <w:pStyle w:val="2"/>
        <w:rPr>
          <w:rFonts w:hint="default" w:eastAsia="仿宋"/>
          <w:color w:val="auto"/>
          <w:highlight w:val="none"/>
          <w:lang w:val="en-US" w:eastAsia="zh-CN"/>
        </w:rPr>
      </w:pPr>
      <w:r>
        <w:rPr>
          <w:rFonts w:hint="eastAsia" w:ascii="仿宋" w:hAnsi="仿宋" w:eastAsia="仿宋"/>
          <w:color w:val="auto"/>
          <w:sz w:val="24"/>
          <w:szCs w:val="24"/>
          <w:highlight w:val="none"/>
          <w:lang w:val="en-US" w:eastAsia="zh-CN"/>
        </w:rPr>
        <w:t>5、资金来源：自筹</w:t>
      </w:r>
    </w:p>
    <w:p>
      <w:pPr>
        <w:spacing w:line="360" w:lineRule="auto"/>
        <w:rPr>
          <w:rFonts w:hint="eastAsia" w:ascii="仿宋" w:hAnsi="仿宋" w:eastAsia="仿宋"/>
          <w:color w:val="auto"/>
          <w:kern w:val="0"/>
          <w:sz w:val="23"/>
          <w:szCs w:val="23"/>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、最高限价：</w:t>
      </w:r>
      <w:r>
        <w:rPr>
          <w:rFonts w:hint="eastAsia" w:ascii="仿宋" w:hAnsi="仿宋" w:eastAsia="仿宋"/>
          <w:color w:val="auto"/>
          <w:kern w:val="0"/>
          <w:sz w:val="24"/>
          <w:szCs w:val="24"/>
          <w:highlight w:val="none"/>
        </w:rPr>
        <w:t>本项目最高限价</w:t>
      </w:r>
      <w:r>
        <w:rPr>
          <w:rFonts w:hint="eastAsia" w:ascii="仿宋" w:hAnsi="仿宋" w:eastAsia="仿宋"/>
          <w:color w:val="auto"/>
          <w:sz w:val="24"/>
          <w:szCs w:val="24"/>
          <w:highlight w:val="none"/>
          <w:lang w:val="en-US" w:eastAsia="zh-CN"/>
        </w:rPr>
        <w:t>143万元/年</w:t>
      </w:r>
      <w:r>
        <w:rPr>
          <w:rFonts w:hint="eastAsia" w:ascii="仿宋" w:hAnsi="仿宋" w:eastAsia="仿宋"/>
          <w:color w:val="auto"/>
          <w:kern w:val="0"/>
          <w:sz w:val="24"/>
          <w:szCs w:val="24"/>
          <w:highlight w:val="none"/>
        </w:rPr>
        <w:t>，</w:t>
      </w:r>
      <w:r>
        <w:rPr>
          <w:rFonts w:hint="eastAsia" w:ascii="仿宋" w:hAnsi="仿宋" w:eastAsia="仿宋"/>
          <w:color w:val="auto"/>
          <w:kern w:val="0"/>
          <w:sz w:val="23"/>
          <w:szCs w:val="23"/>
          <w:highlight w:val="none"/>
        </w:rPr>
        <w:t>最后报价超过最高限价的均为无效报价，按照无效响应处理。</w:t>
      </w:r>
    </w:p>
    <w:p>
      <w:pPr>
        <w:pStyle w:val="2"/>
        <w:rPr>
          <w:rFonts w:hint="eastAsia" w:ascii="仿宋" w:hAnsi="仿宋" w:eastAsia="仿宋"/>
          <w:color w:val="auto"/>
          <w:kern w:val="0"/>
          <w:sz w:val="23"/>
          <w:szCs w:val="23"/>
          <w:highlight w:val="none"/>
        </w:rPr>
      </w:pPr>
      <w:r>
        <w:rPr>
          <w:rFonts w:hint="eastAsia" w:ascii="仿宋" w:hAnsi="仿宋" w:eastAsia="仿宋"/>
          <w:color w:val="auto"/>
          <w:kern w:val="0"/>
          <w:sz w:val="23"/>
          <w:szCs w:val="23"/>
          <w:highlight w:val="none"/>
          <w:lang w:val="en-US" w:eastAsia="zh-CN"/>
        </w:rPr>
        <w:t>7</w:t>
      </w:r>
      <w:r>
        <w:rPr>
          <w:rFonts w:hint="eastAsia" w:ascii="仿宋" w:hAnsi="仿宋" w:eastAsia="仿宋"/>
          <w:color w:val="auto"/>
          <w:kern w:val="0"/>
          <w:sz w:val="23"/>
          <w:szCs w:val="23"/>
          <w:highlight w:val="none"/>
        </w:rPr>
        <w:t>、标段划分：一个标段</w:t>
      </w:r>
    </w:p>
    <w:p>
      <w:pPr>
        <w:pStyle w:val="2"/>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、采购需求：</w:t>
      </w:r>
      <w:r>
        <w:rPr>
          <w:rFonts w:hint="eastAsia" w:ascii="仿宋" w:hAnsi="仿宋" w:eastAsia="仿宋"/>
          <w:b w:val="0"/>
          <w:bCs w:val="0"/>
          <w:color w:val="auto"/>
          <w:sz w:val="24"/>
          <w:szCs w:val="24"/>
          <w:highlight w:val="none"/>
          <w:lang w:eastAsia="zh-CN"/>
        </w:rPr>
        <w:t>南通高等师范学校附属小学2021年食堂、保洁劳务外包服务</w:t>
      </w:r>
      <w:r>
        <w:rPr>
          <w:rFonts w:hint="eastAsia" w:ascii="仿宋" w:hAnsi="仿宋" w:eastAsia="仿宋"/>
          <w:b w:val="0"/>
          <w:bCs w:val="0"/>
          <w:color w:val="auto"/>
          <w:kern w:val="0"/>
          <w:sz w:val="24"/>
          <w:szCs w:val="24"/>
          <w:highlight w:val="none"/>
          <w:lang w:eastAsia="zh-CN"/>
        </w:rPr>
        <w:t>，</w:t>
      </w:r>
      <w:r>
        <w:rPr>
          <w:rFonts w:hint="eastAsia" w:ascii="仿宋" w:hAnsi="仿宋" w:eastAsia="仿宋"/>
          <w:color w:val="auto"/>
          <w:kern w:val="0"/>
          <w:sz w:val="24"/>
          <w:szCs w:val="24"/>
          <w:highlight w:val="none"/>
          <w:lang w:eastAsia="zh-CN"/>
        </w:rPr>
        <w:t>具体</w:t>
      </w:r>
      <w:r>
        <w:rPr>
          <w:rFonts w:hint="eastAsia" w:ascii="仿宋" w:hAnsi="仿宋" w:eastAsia="仿宋"/>
          <w:color w:val="auto"/>
          <w:kern w:val="0"/>
          <w:sz w:val="24"/>
          <w:szCs w:val="24"/>
          <w:highlight w:val="none"/>
        </w:rPr>
        <w:t>详见</w:t>
      </w:r>
      <w:r>
        <w:rPr>
          <w:rFonts w:hint="eastAsia" w:ascii="仿宋" w:hAnsi="仿宋" w:eastAsia="仿宋"/>
          <w:color w:val="auto"/>
          <w:kern w:val="0"/>
          <w:sz w:val="24"/>
          <w:szCs w:val="24"/>
          <w:highlight w:val="none"/>
          <w:lang w:eastAsia="zh-CN"/>
        </w:rPr>
        <w:t>项目需求</w:t>
      </w:r>
      <w:r>
        <w:rPr>
          <w:rFonts w:hint="eastAsia" w:ascii="仿宋" w:hAnsi="仿宋" w:eastAsia="仿宋"/>
          <w:color w:val="auto"/>
          <w:kern w:val="0"/>
          <w:sz w:val="24"/>
          <w:szCs w:val="24"/>
          <w:highlight w:val="none"/>
        </w:rPr>
        <w:t>。</w:t>
      </w:r>
    </w:p>
    <w:p>
      <w:pPr>
        <w:spacing w:line="50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、合同履行期限：</w:t>
      </w:r>
      <w:r>
        <w:rPr>
          <w:rFonts w:hint="eastAsia" w:ascii="仿宋" w:hAnsi="仿宋" w:eastAsia="仿宋" w:cs="仿宋"/>
          <w:color w:val="auto"/>
          <w:kern w:val="0"/>
          <w:sz w:val="24"/>
          <w:szCs w:val="24"/>
          <w:highlight w:val="none"/>
          <w:lang w:val="en-US" w:eastAsia="zh-CN"/>
        </w:rPr>
        <w:t>自签订合同之日起壹年。中标单位签订合同后履行合同义务不符合要求、违反合同约定的，采购人有权解除合同。</w:t>
      </w:r>
    </w:p>
    <w:p>
      <w:pPr>
        <w:spacing w:line="5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、本项目（</w:t>
      </w:r>
      <w:r>
        <w:rPr>
          <w:rFonts w:hint="eastAsia" w:ascii="仿宋" w:hAnsi="仿宋" w:eastAsia="仿宋"/>
          <w:i/>
          <w:iCs/>
          <w:color w:val="auto"/>
          <w:sz w:val="24"/>
          <w:szCs w:val="24"/>
          <w:highlight w:val="none"/>
        </w:rPr>
        <w:t>是/否</w:t>
      </w:r>
      <w:r>
        <w:rPr>
          <w:rFonts w:hint="eastAsia" w:ascii="仿宋" w:hAnsi="仿宋" w:eastAsia="仿宋"/>
          <w:color w:val="auto"/>
          <w:sz w:val="24"/>
          <w:szCs w:val="24"/>
          <w:highlight w:val="none"/>
        </w:rPr>
        <w:t>）接受联合体</w:t>
      </w:r>
      <w:r>
        <w:rPr>
          <w:rFonts w:hint="eastAsia" w:ascii="仿宋" w:hAnsi="仿宋" w:eastAsia="仿宋"/>
          <w:color w:val="auto"/>
          <w:sz w:val="24"/>
          <w:szCs w:val="24"/>
          <w:highlight w:val="none"/>
          <w:u w:val="single"/>
        </w:rPr>
        <w:t xml:space="preserve"> 否 </w:t>
      </w:r>
    </w:p>
    <w:p>
      <w:pPr>
        <w:keepNext/>
        <w:keepLines/>
        <w:spacing w:before="260" w:after="260" w:line="360" w:lineRule="auto"/>
        <w:outlineLvl w:val="1"/>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rPr>
        <w:t>二、申请人的资格要求：</w:t>
      </w:r>
    </w:p>
    <w:p>
      <w:pPr>
        <w:snapToGrid w:val="0"/>
        <w:spacing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（一）符合政府采购法第二十二条第一款规定的条件，并提供下列材料；</w:t>
      </w:r>
    </w:p>
    <w:p>
      <w:pPr>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1、具有独立承担民事责任的能力；</w:t>
      </w:r>
    </w:p>
    <w:p>
      <w:pPr>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2、具有良好的商业信誉和健全的财务会计制度；</w:t>
      </w:r>
    </w:p>
    <w:p>
      <w:pPr>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3、具有履行合同所必须的设备和专业技术能力；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5、参加政府采购活动近三年内，在经营活动中没有重大违法记录。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contextualSpacing/>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6、法律、行政法规规定的其他条件。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w:t>
      </w:r>
      <w:r>
        <w:rPr>
          <w:rFonts w:hint="eastAsia" w:ascii="仿宋" w:hAnsi="仿宋" w:eastAsia="仿宋"/>
          <w:color w:val="auto"/>
          <w:kern w:val="0"/>
          <w:sz w:val="24"/>
          <w:szCs w:val="24"/>
          <w:highlight w:val="none"/>
        </w:rPr>
        <w:t>法定代表人参加投标的，必须提供法人身份证明原件及本人身份证原件；非法定代表人参加的，必须提供法定代表人签名或盖章的授权委托书原件及被委托授权人身份证原件；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rPr>
        <w:t>8、磋商供应商有效的营业执</w:t>
      </w:r>
      <w:r>
        <w:rPr>
          <w:rFonts w:hint="eastAsia" w:ascii="仿宋" w:hAnsi="仿宋" w:eastAsia="仿宋"/>
          <w:color w:val="auto"/>
          <w:kern w:val="0"/>
          <w:sz w:val="24"/>
          <w:szCs w:val="24"/>
          <w:highlight w:val="none"/>
        </w:rPr>
        <w:t>照</w:t>
      </w:r>
      <w:r>
        <w:rPr>
          <w:rFonts w:hint="eastAsia" w:ascii="仿宋" w:hAnsi="仿宋" w:eastAsia="仿宋"/>
          <w:color w:val="auto"/>
          <w:kern w:val="0"/>
          <w:sz w:val="24"/>
          <w:szCs w:val="24"/>
          <w:highlight w:val="none"/>
          <w:lang w:eastAsia="zh-CN"/>
        </w:rPr>
        <w:t>或事业单位法人证书</w:t>
      </w:r>
      <w:r>
        <w:rPr>
          <w:rFonts w:hint="eastAsia" w:ascii="仿宋" w:hAnsi="仿宋" w:eastAsia="仿宋"/>
          <w:color w:val="auto"/>
          <w:kern w:val="0"/>
          <w:sz w:val="24"/>
          <w:szCs w:val="24"/>
          <w:highlight w:val="none"/>
        </w:rPr>
        <w:t xml:space="preserve">（副本）；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宋体"/>
          <w:color w:val="auto"/>
          <w:kern w:val="0"/>
          <w:sz w:val="24"/>
          <w:szCs w:val="24"/>
          <w:highlight w:val="none"/>
        </w:rPr>
      </w:pPr>
      <w:r>
        <w:rPr>
          <w:rFonts w:hint="eastAsia" w:ascii="仿宋" w:hAnsi="仿宋" w:eastAsia="仿宋"/>
          <w:color w:val="auto"/>
          <w:kern w:val="0"/>
          <w:sz w:val="24"/>
          <w:szCs w:val="24"/>
          <w:highlight w:val="none"/>
        </w:rPr>
        <w:t>9、</w:t>
      </w:r>
      <w:r>
        <w:rPr>
          <w:rFonts w:hint="eastAsia" w:ascii="仿宋" w:hAnsi="仿宋" w:eastAsia="仿宋" w:cs="宋体"/>
          <w:color w:val="auto"/>
          <w:kern w:val="0"/>
          <w:sz w:val="24"/>
          <w:szCs w:val="24"/>
          <w:highlight w:val="none"/>
        </w:rPr>
        <w:t>响应供应商未被“信用中国”网站（www.creditchina.gov.cn）、中国政府采购网（www.ccgp.gov.cn）列入失信被执行人、重大税收违法案件当事人名单、政府采购严重失信行为记录名单；为确保政府采购守法供应商公平参加政府采购活动，采购代理机构将在开标开始后一个小时内，通过信用中国网站和中国政府采购网对供应商信用信息进行查询查证，并将查询记录截屏打印保存在采购档案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0</w:t>
      </w:r>
      <w:r>
        <w:rPr>
          <w:rFonts w:hint="eastAsia" w:ascii="仿宋" w:hAnsi="仿宋" w:eastAsia="仿宋"/>
          <w:color w:val="auto"/>
          <w:kern w:val="0"/>
          <w:sz w:val="24"/>
          <w:szCs w:val="24"/>
          <w:highlight w:val="none"/>
        </w:rPr>
        <w:t>、供应商响应文件函（格式按第七章）</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、符合法律、法规规定的其他条件。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（二）落实政府采购政策需满足的资格要求：/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 xml:space="preserve">     </w:t>
      </w:r>
      <w:r>
        <w:rPr>
          <w:rFonts w:hint="eastAsia" w:ascii="仿宋" w:hAnsi="仿宋" w:eastAsia="仿宋"/>
          <w:b/>
          <w:bCs/>
          <w:color w:val="auto"/>
          <w:sz w:val="24"/>
          <w:szCs w:val="24"/>
          <w:highlight w:val="none"/>
        </w:rPr>
        <w:t>(三)本项目的特定资格要求：</w:t>
      </w:r>
      <w:r>
        <w:rPr>
          <w:rFonts w:hint="eastAsia" w:ascii="仿宋" w:hAnsi="仿宋" w:eastAsia="仿宋"/>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三、获取采购文件</w:t>
      </w:r>
    </w:p>
    <w:p>
      <w:pPr>
        <w:spacing w:line="360" w:lineRule="auto"/>
        <w:ind w:firstLine="54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1、时间：</w:t>
      </w:r>
      <w:r>
        <w:rPr>
          <w:rFonts w:hint="eastAsia" w:ascii="仿宋" w:hAnsi="仿宋" w:eastAsia="仿宋"/>
          <w:color w:val="auto"/>
          <w:sz w:val="24"/>
          <w:szCs w:val="24"/>
          <w:highlight w:val="none"/>
          <w:u w:val="single"/>
        </w:rPr>
        <w:t xml:space="preserve"> 2021年</w:t>
      </w:r>
      <w:r>
        <w:rPr>
          <w:rFonts w:hint="eastAsia" w:ascii="仿宋" w:hAnsi="仿宋" w:eastAsia="仿宋"/>
          <w:color w:val="auto"/>
          <w:sz w:val="24"/>
          <w:szCs w:val="24"/>
          <w:highlight w:val="none"/>
          <w:u w:val="single"/>
          <w:lang w:val="en-US" w:eastAsia="zh-CN"/>
        </w:rPr>
        <w:t>8</w:t>
      </w:r>
      <w:r>
        <w:rPr>
          <w:rFonts w:hint="eastAsia" w:ascii="仿宋" w:hAnsi="仿宋" w:eastAsia="仿宋"/>
          <w:color w:val="auto"/>
          <w:sz w:val="24"/>
          <w:szCs w:val="24"/>
          <w:highlight w:val="none"/>
          <w:u w:val="single"/>
        </w:rPr>
        <w:t>月</w:t>
      </w:r>
      <w:r>
        <w:rPr>
          <w:rFonts w:hint="eastAsia" w:ascii="仿宋" w:hAnsi="仿宋" w:eastAsia="仿宋"/>
          <w:color w:val="auto"/>
          <w:sz w:val="24"/>
          <w:szCs w:val="24"/>
          <w:highlight w:val="none"/>
          <w:u w:val="single"/>
          <w:lang w:val="en-US" w:eastAsia="zh-CN"/>
        </w:rPr>
        <w:t>20</w:t>
      </w:r>
      <w:r>
        <w:rPr>
          <w:rFonts w:hint="eastAsia" w:ascii="仿宋" w:hAnsi="仿宋" w:eastAsia="仿宋"/>
          <w:color w:val="auto"/>
          <w:sz w:val="24"/>
          <w:szCs w:val="24"/>
          <w:highlight w:val="none"/>
          <w:u w:val="single"/>
        </w:rPr>
        <w:t>日至 2021 年</w:t>
      </w:r>
      <w:r>
        <w:rPr>
          <w:rFonts w:hint="eastAsia" w:ascii="仿宋" w:hAnsi="仿宋" w:eastAsia="仿宋"/>
          <w:color w:val="auto"/>
          <w:sz w:val="24"/>
          <w:szCs w:val="24"/>
          <w:highlight w:val="none"/>
          <w:u w:val="single"/>
          <w:lang w:val="en-US" w:eastAsia="zh-CN"/>
        </w:rPr>
        <w:t>8</w:t>
      </w:r>
      <w:r>
        <w:rPr>
          <w:rFonts w:hint="eastAsia" w:ascii="仿宋" w:hAnsi="仿宋" w:eastAsia="仿宋"/>
          <w:color w:val="auto"/>
          <w:sz w:val="24"/>
          <w:szCs w:val="24"/>
          <w:highlight w:val="none"/>
          <w:u w:val="single"/>
        </w:rPr>
        <w:t>月</w:t>
      </w:r>
      <w:r>
        <w:rPr>
          <w:rFonts w:hint="eastAsia" w:ascii="仿宋" w:hAnsi="仿宋" w:eastAsia="仿宋"/>
          <w:color w:val="auto"/>
          <w:sz w:val="24"/>
          <w:szCs w:val="24"/>
          <w:highlight w:val="none"/>
          <w:u w:val="single"/>
          <w:lang w:val="en-US" w:eastAsia="zh-CN"/>
        </w:rPr>
        <w:t xml:space="preserve"> 31</w:t>
      </w:r>
      <w:r>
        <w:rPr>
          <w:rFonts w:hint="eastAsia" w:ascii="仿宋" w:hAnsi="仿宋" w:eastAsia="仿宋"/>
          <w:color w:val="auto"/>
          <w:sz w:val="24"/>
          <w:szCs w:val="24"/>
          <w:highlight w:val="none"/>
          <w:u w:val="single"/>
        </w:rPr>
        <w:t>日</w:t>
      </w:r>
      <w:r>
        <w:rPr>
          <w:rFonts w:hint="eastAsia" w:ascii="仿宋" w:hAnsi="仿宋" w:eastAsia="仿宋"/>
          <w:color w:val="auto"/>
          <w:sz w:val="24"/>
          <w:szCs w:val="24"/>
          <w:highlight w:val="none"/>
          <w:u w:val="single"/>
          <w:lang w:val="en-US" w:eastAsia="zh-CN"/>
        </w:rPr>
        <w:t>15</w:t>
      </w:r>
      <w:r>
        <w:rPr>
          <w:rFonts w:hint="eastAsia" w:ascii="仿宋" w:hAnsi="仿宋" w:eastAsia="仿宋"/>
          <w:color w:val="auto"/>
          <w:sz w:val="24"/>
          <w:szCs w:val="24"/>
          <w:highlight w:val="none"/>
          <w:u w:val="single"/>
        </w:rPr>
        <w:t xml:space="preserve"> : </w:t>
      </w:r>
      <w:r>
        <w:rPr>
          <w:rFonts w:hint="eastAsia" w:ascii="仿宋" w:hAnsi="仿宋" w:eastAsia="仿宋"/>
          <w:color w:val="auto"/>
          <w:sz w:val="24"/>
          <w:szCs w:val="24"/>
          <w:highlight w:val="none"/>
          <w:u w:val="single"/>
          <w:lang w:val="en-US" w:eastAsia="zh-CN"/>
        </w:rPr>
        <w:t>0</w:t>
      </w:r>
      <w:r>
        <w:rPr>
          <w:rFonts w:hint="eastAsia" w:ascii="仿宋" w:hAnsi="仿宋" w:eastAsia="仿宋"/>
          <w:color w:val="auto"/>
          <w:sz w:val="24"/>
          <w:szCs w:val="24"/>
          <w:highlight w:val="none"/>
          <w:u w:val="single"/>
        </w:rPr>
        <w:t>0 分止</w:t>
      </w:r>
    </w:p>
    <w:p>
      <w:pPr>
        <w:widowControl/>
        <w:spacing w:line="44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2、地点：供应商</w:t>
      </w:r>
      <w:r>
        <w:rPr>
          <w:rFonts w:hint="eastAsia" w:ascii="仿宋" w:hAnsi="仿宋" w:eastAsia="仿宋"/>
          <w:color w:val="auto"/>
          <w:sz w:val="24"/>
          <w:szCs w:val="24"/>
          <w:highlight w:val="none"/>
          <w:u w:val="single"/>
        </w:rPr>
        <w:t>直接</w:t>
      </w:r>
      <w:r>
        <w:rPr>
          <w:rFonts w:hint="eastAsia" w:ascii="仿宋" w:hAnsi="仿宋" w:eastAsia="仿宋"/>
          <w:color w:val="auto"/>
          <w:kern w:val="0"/>
          <w:sz w:val="24"/>
          <w:szCs w:val="24"/>
          <w:highlight w:val="none"/>
          <w:u w:val="single"/>
        </w:rPr>
        <w:t>从</w:t>
      </w:r>
      <w:r>
        <w:rPr>
          <w:rFonts w:hint="eastAsia" w:ascii="仿宋" w:hAnsi="仿宋" w:eastAsia="仿宋"/>
          <w:color w:val="auto"/>
          <w:kern w:val="0"/>
          <w:sz w:val="24"/>
          <w:szCs w:val="24"/>
          <w:highlight w:val="none"/>
          <w:u w:val="single"/>
          <w:lang w:eastAsia="zh-CN"/>
        </w:rPr>
        <w:t>南通开发区教育网（http://www.ntkfqjy.com/）</w:t>
      </w:r>
      <w:r>
        <w:rPr>
          <w:rFonts w:hint="eastAsia" w:ascii="仿宋" w:hAnsi="仿宋" w:eastAsia="仿宋"/>
          <w:color w:val="auto"/>
          <w:kern w:val="0"/>
          <w:sz w:val="24"/>
          <w:szCs w:val="24"/>
          <w:highlight w:val="none"/>
        </w:rPr>
        <w:t>自行下载竞争性磋商文件等招标资料。</w:t>
      </w:r>
    </w:p>
    <w:p>
      <w:pPr>
        <w:spacing w:line="360" w:lineRule="auto"/>
        <w:ind w:firstLine="54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3、方式：自行下载</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4、售价：300元/每位响应供应商（递交投标文件同时递交）</w:t>
      </w:r>
    </w:p>
    <w:p>
      <w:pPr>
        <w:spacing w:line="360" w:lineRule="auto"/>
        <w:outlineLvl w:val="1"/>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四、响应文件提交</w:t>
      </w:r>
    </w:p>
    <w:p>
      <w:pPr>
        <w:spacing w:line="360" w:lineRule="auto"/>
        <w:ind w:firstLine="360" w:firstLineChars="15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1、截止时间：可在</w:t>
      </w:r>
      <w:r>
        <w:rPr>
          <w:rFonts w:hint="eastAsia" w:ascii="仿宋" w:hAnsi="仿宋" w:eastAsia="仿宋"/>
          <w:color w:val="auto"/>
          <w:sz w:val="24"/>
          <w:szCs w:val="24"/>
          <w:highlight w:val="none"/>
          <w:u w:val="single"/>
        </w:rPr>
        <w:t>2021年</w:t>
      </w:r>
      <w:r>
        <w:rPr>
          <w:rFonts w:hint="eastAsia" w:ascii="仿宋" w:hAnsi="仿宋" w:eastAsia="仿宋"/>
          <w:color w:val="auto"/>
          <w:sz w:val="24"/>
          <w:szCs w:val="24"/>
          <w:highlight w:val="none"/>
          <w:u w:val="single"/>
          <w:lang w:val="en-US" w:eastAsia="zh-CN"/>
        </w:rPr>
        <w:t>8</w:t>
      </w:r>
      <w:r>
        <w:rPr>
          <w:rFonts w:hint="eastAsia" w:ascii="仿宋" w:hAnsi="仿宋" w:eastAsia="仿宋"/>
          <w:color w:val="auto"/>
          <w:sz w:val="24"/>
          <w:szCs w:val="24"/>
          <w:highlight w:val="none"/>
          <w:u w:val="single"/>
        </w:rPr>
        <w:t xml:space="preserve"> 月</w:t>
      </w:r>
      <w:r>
        <w:rPr>
          <w:rFonts w:hint="eastAsia" w:ascii="仿宋" w:hAnsi="仿宋" w:eastAsia="仿宋"/>
          <w:color w:val="auto"/>
          <w:sz w:val="24"/>
          <w:szCs w:val="24"/>
          <w:highlight w:val="none"/>
          <w:u w:val="single"/>
          <w:lang w:val="en-US" w:eastAsia="zh-CN"/>
        </w:rPr>
        <w:t>31</w:t>
      </w:r>
      <w:r>
        <w:rPr>
          <w:rFonts w:hint="eastAsia" w:ascii="仿宋" w:hAnsi="仿宋" w:eastAsia="仿宋"/>
          <w:color w:val="auto"/>
          <w:sz w:val="24"/>
          <w:szCs w:val="24"/>
          <w:highlight w:val="none"/>
          <w:u w:val="single"/>
        </w:rPr>
        <w:t>日</w:t>
      </w:r>
      <w:r>
        <w:rPr>
          <w:rFonts w:hint="eastAsia" w:ascii="仿宋" w:hAnsi="仿宋" w:eastAsia="仿宋"/>
          <w:color w:val="auto"/>
          <w:sz w:val="24"/>
          <w:szCs w:val="24"/>
          <w:highlight w:val="none"/>
          <w:u w:val="single"/>
          <w:lang w:val="en-US" w:eastAsia="zh-CN"/>
        </w:rPr>
        <w:t>14</w:t>
      </w:r>
      <w:r>
        <w:rPr>
          <w:rFonts w:hint="eastAsia" w:ascii="仿宋" w:hAnsi="仿宋" w:eastAsia="仿宋"/>
          <w:color w:val="auto"/>
          <w:sz w:val="24"/>
          <w:szCs w:val="24"/>
          <w:highlight w:val="none"/>
          <w:u w:val="single"/>
        </w:rPr>
        <w:t xml:space="preserve"> 点 </w:t>
      </w:r>
      <w:r>
        <w:rPr>
          <w:rFonts w:hint="eastAsia" w:ascii="仿宋" w:hAnsi="仿宋" w:eastAsia="仿宋"/>
          <w:color w:val="auto"/>
          <w:sz w:val="24"/>
          <w:szCs w:val="24"/>
          <w:highlight w:val="none"/>
          <w:u w:val="single"/>
          <w:lang w:val="en-US" w:eastAsia="zh-CN"/>
        </w:rPr>
        <w:t>3</w:t>
      </w:r>
      <w:r>
        <w:rPr>
          <w:rFonts w:hint="eastAsia" w:ascii="仿宋" w:hAnsi="仿宋" w:eastAsia="仿宋"/>
          <w:color w:val="auto"/>
          <w:sz w:val="24"/>
          <w:szCs w:val="24"/>
          <w:highlight w:val="none"/>
          <w:u w:val="single"/>
        </w:rPr>
        <w:t>0 分时</w:t>
      </w:r>
      <w:r>
        <w:rPr>
          <w:rFonts w:hint="eastAsia" w:ascii="仿宋" w:hAnsi="仿宋" w:eastAsia="仿宋"/>
          <w:color w:val="auto"/>
          <w:sz w:val="24"/>
          <w:szCs w:val="24"/>
          <w:highlight w:val="none"/>
        </w:rPr>
        <w:t>（北京时间）</w:t>
      </w:r>
      <w:r>
        <w:rPr>
          <w:rFonts w:hint="eastAsia" w:ascii="仿宋" w:hAnsi="仿宋" w:eastAsia="仿宋"/>
          <w:color w:val="auto"/>
          <w:sz w:val="24"/>
          <w:szCs w:val="24"/>
          <w:highlight w:val="none"/>
          <w:u w:val="single"/>
        </w:rPr>
        <w:t>开始递交投标文件，递交截止时间： 2021年</w:t>
      </w:r>
      <w:r>
        <w:rPr>
          <w:rFonts w:hint="eastAsia" w:ascii="仿宋" w:hAnsi="仿宋" w:eastAsia="仿宋"/>
          <w:color w:val="auto"/>
          <w:sz w:val="24"/>
          <w:szCs w:val="24"/>
          <w:highlight w:val="none"/>
          <w:u w:val="single"/>
          <w:lang w:val="en-US" w:eastAsia="zh-CN"/>
        </w:rPr>
        <w:t>8</w:t>
      </w:r>
      <w:r>
        <w:rPr>
          <w:rFonts w:hint="eastAsia" w:ascii="仿宋" w:hAnsi="仿宋" w:eastAsia="仿宋"/>
          <w:color w:val="auto"/>
          <w:sz w:val="24"/>
          <w:szCs w:val="24"/>
          <w:highlight w:val="none"/>
          <w:u w:val="single"/>
        </w:rPr>
        <w:t>月</w:t>
      </w:r>
      <w:r>
        <w:rPr>
          <w:rFonts w:hint="eastAsia" w:ascii="仿宋" w:hAnsi="仿宋" w:eastAsia="仿宋"/>
          <w:color w:val="auto"/>
          <w:sz w:val="24"/>
          <w:szCs w:val="24"/>
          <w:highlight w:val="none"/>
          <w:u w:val="single"/>
          <w:lang w:val="en-US" w:eastAsia="zh-CN"/>
        </w:rPr>
        <w:t xml:space="preserve"> 31</w:t>
      </w:r>
      <w:r>
        <w:rPr>
          <w:rFonts w:hint="eastAsia" w:ascii="仿宋" w:hAnsi="仿宋" w:eastAsia="仿宋"/>
          <w:color w:val="auto"/>
          <w:sz w:val="24"/>
          <w:szCs w:val="24"/>
          <w:highlight w:val="none"/>
          <w:u w:val="single"/>
        </w:rPr>
        <w:t xml:space="preserve">日 </w:t>
      </w:r>
      <w:r>
        <w:rPr>
          <w:rFonts w:hint="eastAsia" w:ascii="仿宋" w:hAnsi="仿宋" w:eastAsia="仿宋"/>
          <w:color w:val="auto"/>
          <w:sz w:val="24"/>
          <w:szCs w:val="24"/>
          <w:highlight w:val="none"/>
          <w:u w:val="single"/>
          <w:lang w:val="en-US" w:eastAsia="zh-CN"/>
        </w:rPr>
        <w:t>15</w:t>
      </w:r>
      <w:r>
        <w:rPr>
          <w:rFonts w:hint="eastAsia" w:ascii="仿宋" w:hAnsi="仿宋" w:eastAsia="仿宋"/>
          <w:color w:val="auto"/>
          <w:sz w:val="24"/>
          <w:szCs w:val="24"/>
          <w:highlight w:val="none"/>
          <w:u w:val="single"/>
        </w:rPr>
        <w:t>点</w:t>
      </w:r>
      <w:r>
        <w:rPr>
          <w:rFonts w:hint="eastAsia" w:ascii="仿宋" w:hAnsi="仿宋" w:eastAsia="仿宋"/>
          <w:color w:val="auto"/>
          <w:sz w:val="24"/>
          <w:szCs w:val="24"/>
          <w:highlight w:val="none"/>
          <w:u w:val="single"/>
          <w:lang w:val="en-US" w:eastAsia="zh-CN"/>
        </w:rPr>
        <w:t>0</w:t>
      </w:r>
      <w:r>
        <w:rPr>
          <w:rFonts w:hint="eastAsia" w:ascii="仿宋" w:hAnsi="仿宋" w:eastAsia="仿宋"/>
          <w:color w:val="auto"/>
          <w:sz w:val="24"/>
          <w:szCs w:val="24"/>
          <w:highlight w:val="none"/>
          <w:u w:val="single"/>
        </w:rPr>
        <w:t>0 分</w:t>
      </w:r>
      <w:r>
        <w:rPr>
          <w:rFonts w:hint="eastAsia" w:ascii="仿宋" w:hAnsi="仿宋" w:eastAsia="仿宋"/>
          <w:color w:val="auto"/>
          <w:sz w:val="24"/>
          <w:szCs w:val="24"/>
          <w:highlight w:val="none"/>
        </w:rPr>
        <w:t>（北京时间），逾期送达将作无效响应处理。</w:t>
      </w:r>
    </w:p>
    <w:p>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2、开标地点：南通市开发区长通路9号</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飞马国际中心A座1205室</w:t>
      </w:r>
      <w:r>
        <w:rPr>
          <w:rFonts w:hint="eastAsia" w:ascii="仿宋" w:hAnsi="仿宋" w:eastAsia="仿宋"/>
          <w:color w:val="auto"/>
          <w:sz w:val="24"/>
          <w:szCs w:val="24"/>
          <w:highlight w:val="none"/>
          <w:lang w:eastAsia="zh-CN"/>
        </w:rPr>
        <w:t>）</w:t>
      </w:r>
    </w:p>
    <w:p>
      <w:pPr>
        <w:spacing w:line="360" w:lineRule="auto"/>
        <w:outlineLvl w:val="1"/>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五、开启</w:t>
      </w:r>
    </w:p>
    <w:p>
      <w:pPr>
        <w:ind w:firstLine="480" w:firstLineChars="200"/>
        <w:rPr>
          <w:rFonts w:hint="eastAsia" w:ascii="仿宋" w:hAnsi="仿宋" w:eastAsia="仿宋"/>
          <w:color w:val="auto"/>
          <w:sz w:val="28"/>
          <w:szCs w:val="28"/>
          <w:highlight w:val="none"/>
          <w:u w:val="single"/>
        </w:rPr>
      </w:pPr>
      <w:r>
        <w:rPr>
          <w:rFonts w:hint="eastAsia" w:ascii="仿宋" w:hAnsi="仿宋" w:eastAsia="仿宋"/>
          <w:color w:val="auto"/>
          <w:sz w:val="24"/>
          <w:szCs w:val="24"/>
          <w:highlight w:val="none"/>
        </w:rPr>
        <w:t>时间：</w:t>
      </w:r>
      <w:r>
        <w:rPr>
          <w:rFonts w:hint="eastAsia" w:ascii="仿宋" w:hAnsi="仿宋" w:eastAsia="仿宋"/>
          <w:color w:val="auto"/>
          <w:sz w:val="24"/>
          <w:szCs w:val="24"/>
          <w:highlight w:val="none"/>
          <w:u w:val="single"/>
        </w:rPr>
        <w:t>2021年</w:t>
      </w:r>
      <w:r>
        <w:rPr>
          <w:rFonts w:hint="eastAsia" w:ascii="仿宋" w:hAnsi="仿宋" w:eastAsia="仿宋"/>
          <w:color w:val="auto"/>
          <w:sz w:val="24"/>
          <w:szCs w:val="24"/>
          <w:highlight w:val="none"/>
          <w:u w:val="single"/>
          <w:lang w:val="en-US" w:eastAsia="zh-CN"/>
        </w:rPr>
        <w:t>8</w:t>
      </w:r>
      <w:r>
        <w:rPr>
          <w:rFonts w:hint="eastAsia" w:ascii="仿宋" w:hAnsi="仿宋" w:eastAsia="仿宋"/>
          <w:color w:val="auto"/>
          <w:sz w:val="24"/>
          <w:szCs w:val="24"/>
          <w:highlight w:val="none"/>
          <w:u w:val="single"/>
        </w:rPr>
        <w:t>月</w:t>
      </w:r>
      <w:r>
        <w:rPr>
          <w:rFonts w:hint="eastAsia" w:ascii="仿宋" w:hAnsi="仿宋" w:eastAsia="仿宋"/>
          <w:color w:val="auto"/>
          <w:sz w:val="24"/>
          <w:szCs w:val="24"/>
          <w:highlight w:val="none"/>
          <w:u w:val="single"/>
          <w:lang w:val="en-US" w:eastAsia="zh-CN"/>
        </w:rPr>
        <w:t>31</w:t>
      </w:r>
      <w:r>
        <w:rPr>
          <w:rFonts w:hint="eastAsia" w:ascii="仿宋" w:hAnsi="仿宋" w:eastAsia="仿宋"/>
          <w:color w:val="auto"/>
          <w:sz w:val="24"/>
          <w:szCs w:val="24"/>
          <w:highlight w:val="none"/>
          <w:u w:val="single"/>
        </w:rPr>
        <w:t>日</w:t>
      </w:r>
      <w:r>
        <w:rPr>
          <w:rFonts w:hint="eastAsia" w:ascii="仿宋" w:hAnsi="仿宋" w:eastAsia="仿宋"/>
          <w:color w:val="auto"/>
          <w:sz w:val="24"/>
          <w:szCs w:val="24"/>
          <w:highlight w:val="none"/>
          <w:u w:val="single"/>
          <w:lang w:val="en-US" w:eastAsia="zh-CN"/>
        </w:rPr>
        <w:t>15</w:t>
      </w:r>
      <w:r>
        <w:rPr>
          <w:rFonts w:hint="eastAsia" w:ascii="仿宋" w:hAnsi="仿宋" w:eastAsia="仿宋"/>
          <w:color w:val="auto"/>
          <w:sz w:val="24"/>
          <w:szCs w:val="24"/>
          <w:highlight w:val="none"/>
          <w:u w:val="single"/>
        </w:rPr>
        <w:t xml:space="preserve"> 点 </w:t>
      </w:r>
      <w:r>
        <w:rPr>
          <w:rFonts w:hint="eastAsia" w:ascii="仿宋" w:hAnsi="仿宋" w:eastAsia="仿宋"/>
          <w:color w:val="auto"/>
          <w:sz w:val="24"/>
          <w:szCs w:val="24"/>
          <w:highlight w:val="none"/>
          <w:u w:val="single"/>
          <w:lang w:val="en-US" w:eastAsia="zh-CN"/>
        </w:rPr>
        <w:t>0</w:t>
      </w:r>
      <w:r>
        <w:rPr>
          <w:rFonts w:hint="eastAsia" w:ascii="仿宋" w:hAnsi="仿宋" w:eastAsia="仿宋"/>
          <w:color w:val="auto"/>
          <w:sz w:val="24"/>
          <w:szCs w:val="24"/>
          <w:highlight w:val="none"/>
          <w:u w:val="single"/>
        </w:rPr>
        <w:t>0 分</w:t>
      </w:r>
      <w:r>
        <w:rPr>
          <w:rFonts w:hint="eastAsia" w:ascii="仿宋" w:hAnsi="仿宋" w:eastAsia="仿宋"/>
          <w:color w:val="auto"/>
          <w:sz w:val="24"/>
          <w:szCs w:val="24"/>
          <w:highlight w:val="none"/>
        </w:rPr>
        <w:t>（北京时间）</w:t>
      </w:r>
    </w:p>
    <w:p>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地点：南通市开发区长通路9号</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飞马国际中心A座1205室</w:t>
      </w:r>
      <w:r>
        <w:rPr>
          <w:rFonts w:hint="eastAsia" w:ascii="仿宋" w:hAnsi="仿宋" w:eastAsia="仿宋"/>
          <w:color w:val="auto"/>
          <w:sz w:val="24"/>
          <w:szCs w:val="24"/>
          <w:highlight w:val="none"/>
          <w:lang w:eastAsia="zh-CN"/>
        </w:rPr>
        <w:t>）</w:t>
      </w:r>
    </w:p>
    <w:p>
      <w:pPr>
        <w:spacing w:line="360" w:lineRule="auto"/>
        <w:outlineLvl w:val="1"/>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六、其他补充事宜</w:t>
      </w:r>
    </w:p>
    <w:p>
      <w:pPr>
        <w:snapToGrid w:val="0"/>
        <w:spacing w:line="360" w:lineRule="auto"/>
        <w:ind w:firstLine="480" w:firstLineChars="200"/>
        <w:contextualSpacing/>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1、本项目的采购人其他资格要求、项目需求、评分标准，均由采购人提出。相关的询问、质疑，请直接向采购人提出，并由采购人负责答复。</w:t>
      </w:r>
    </w:p>
    <w:p>
      <w:pPr>
        <w:widowControl/>
        <w:shd w:val="clear" w:color="auto" w:fill="FFFFFF"/>
        <w:spacing w:line="360" w:lineRule="auto"/>
        <w:jc w:val="left"/>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2、拒绝以下磋商供应商参与投标：</w:t>
      </w:r>
    </w:p>
    <w:p>
      <w:pPr>
        <w:widowControl/>
        <w:shd w:val="clear" w:color="auto" w:fill="FFFFFF"/>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磋商供应商之间存在下列互为关联关系的情形之一的，不得同时参加本项目投标：</w:t>
      </w:r>
    </w:p>
    <w:p>
      <w:pPr>
        <w:widowControl/>
        <w:shd w:val="clear" w:color="auto" w:fill="FFFFFF"/>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 法定代表人为同一人的两个及两个以上法人；</w:t>
      </w:r>
    </w:p>
    <w:p>
      <w:pPr>
        <w:pStyle w:val="25"/>
        <w:spacing w:line="360"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(2) 母公司、直接或间接持股50％及以上的被投资公司；</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3、到现场磋商时，请考虑路途拥堵、停车困难等情况，适当提前到达。</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4、有关本次磋商的事项若存在澄清或修改，敬请及时关注“</w:t>
      </w:r>
      <w:r>
        <w:rPr>
          <w:rFonts w:hint="eastAsia" w:ascii="仿宋" w:hAnsi="仿宋" w:eastAsia="仿宋"/>
          <w:color w:val="auto"/>
          <w:sz w:val="24"/>
          <w:szCs w:val="24"/>
          <w:highlight w:val="none"/>
          <w:lang w:eastAsia="zh-CN"/>
        </w:rPr>
        <w:t>南通开发区教育网</w:t>
      </w:r>
      <w:r>
        <w:rPr>
          <w:rFonts w:hint="eastAsia" w:ascii="仿宋" w:hAnsi="仿宋" w:eastAsia="仿宋"/>
          <w:color w:val="auto"/>
          <w:sz w:val="24"/>
          <w:szCs w:val="24"/>
          <w:highlight w:val="none"/>
        </w:rPr>
        <w:t>”发布的信息更正公告。</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在疫情防控期间严格执行登记问询制度，请参与本次招投标活动的人员，携带有效身份证件，规范佩戴口罩，接受实名登记、体温检测和轨迹问询，自觉服从和配合现场工作人员调度安排，并在交易活动现场注意与他人保持安全距离、减少逗留时间。</w:t>
      </w:r>
    </w:p>
    <w:p>
      <w:pPr>
        <w:spacing w:line="360" w:lineRule="auto"/>
        <w:ind w:firstLine="480" w:firstLineChars="200"/>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6、</w:t>
      </w:r>
      <w:r>
        <w:rPr>
          <w:rFonts w:hint="eastAsia" w:ascii="仿宋" w:hAnsi="仿宋" w:eastAsia="仿宋"/>
          <w:b/>
          <w:bCs/>
          <w:color w:val="auto"/>
          <w:sz w:val="24"/>
          <w:szCs w:val="24"/>
          <w:highlight w:val="none"/>
        </w:rPr>
        <w:t>本项目纸质投标文件：资格审查资料包（一正二副，可一并密封），技术标包（一正二副，可一并密封），报价标包（一正二副，可一并密封）；</w:t>
      </w:r>
    </w:p>
    <w:p>
      <w:pPr>
        <w:pStyle w:val="25"/>
        <w:spacing w:line="360" w:lineRule="auto"/>
        <w:ind w:firstLine="226" w:firstLineChars="98"/>
        <w:rPr>
          <w:rFonts w:hint="eastAsia" w:ascii="仿宋" w:hAnsi="仿宋" w:eastAsia="仿宋"/>
          <w:b/>
          <w:bCs/>
          <w:color w:val="auto"/>
          <w:kern w:val="2"/>
          <w:sz w:val="23"/>
          <w:szCs w:val="23"/>
          <w:highlight w:val="none"/>
        </w:rPr>
      </w:pPr>
      <w:r>
        <w:rPr>
          <w:rFonts w:hint="eastAsia" w:ascii="仿宋" w:hAnsi="仿宋" w:eastAsia="仿宋"/>
          <w:b/>
          <w:bCs/>
          <w:color w:val="auto"/>
          <w:kern w:val="2"/>
          <w:sz w:val="23"/>
          <w:szCs w:val="23"/>
          <w:highlight w:val="none"/>
        </w:rPr>
        <w:t>说明：所有资料所需原件备查均需带至开标现场备查。</w:t>
      </w:r>
    </w:p>
    <w:p>
      <w:pPr>
        <w:spacing w:line="360" w:lineRule="auto"/>
        <w:ind w:left="0" w:leftChars="0" w:firstLine="482" w:firstLineChars="200"/>
        <w:outlineLvl w:val="1"/>
        <w:rPr>
          <w:rFonts w:hint="eastAsia" w:ascii="仿宋" w:hAnsi="仿宋" w:eastAsia="仿宋"/>
          <w:b/>
          <w:bCs/>
          <w:color w:val="auto"/>
          <w:kern w:val="0"/>
          <w:sz w:val="24"/>
          <w:szCs w:val="24"/>
          <w:highlight w:val="none"/>
        </w:rPr>
      </w:pPr>
      <w:r>
        <w:rPr>
          <w:rFonts w:hint="eastAsia" w:ascii="仿宋" w:hAnsi="仿宋" w:eastAsia="仿宋"/>
          <w:b/>
          <w:bCs/>
          <w:color w:val="auto"/>
          <w:sz w:val="24"/>
          <w:szCs w:val="24"/>
          <w:highlight w:val="none"/>
          <w:lang w:val="en-US" w:eastAsia="zh-CN"/>
        </w:rPr>
        <w:t>八</w:t>
      </w:r>
      <w:r>
        <w:rPr>
          <w:rFonts w:hint="eastAsia" w:ascii="仿宋" w:hAnsi="仿宋" w:eastAsia="仿宋"/>
          <w:b/>
          <w:bCs/>
          <w:color w:val="auto"/>
          <w:sz w:val="24"/>
          <w:szCs w:val="24"/>
          <w:highlight w:val="none"/>
        </w:rPr>
        <w:t>、凡对本次采购提出询问，请按以下方式联系。</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1.采购人信息</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仿宋" w:hAnsi="仿宋" w:eastAsia="仿宋"/>
          <w:color w:val="auto"/>
          <w:sz w:val="24"/>
          <w:szCs w:val="24"/>
          <w:highlight w:val="none"/>
          <w:lang w:eastAsia="zh-CN"/>
        </w:rPr>
        <w:t>南通高等师范学校附属小学</w:t>
      </w:r>
      <w:r>
        <w:rPr>
          <w:rFonts w:hint="eastAsia" w:ascii="仿宋" w:hAnsi="仿宋" w:eastAsia="仿宋"/>
          <w:color w:val="auto"/>
          <w:sz w:val="24"/>
          <w:szCs w:val="24"/>
          <w:highlight w:val="none"/>
        </w:rPr>
        <w:t xml:space="preserve">  </w:t>
      </w:r>
    </w:p>
    <w:p>
      <w:pPr>
        <w:spacing w:line="360" w:lineRule="auto"/>
        <w:ind w:firstLine="480" w:firstLineChars="200"/>
        <w:rPr>
          <w:rFonts w:hint="eastAsia" w:ascii="仿宋" w:hAnsi="仿宋" w:eastAsia="仿宋"/>
          <w:color w:val="auto"/>
          <w:sz w:val="22"/>
          <w:szCs w:val="22"/>
          <w:highlight w:val="none"/>
        </w:rPr>
      </w:pPr>
      <w:r>
        <w:rPr>
          <w:rFonts w:hint="eastAsia" w:ascii="仿宋" w:hAnsi="仿宋" w:eastAsia="仿宋"/>
          <w:color w:val="auto"/>
          <w:sz w:val="24"/>
          <w:szCs w:val="24"/>
          <w:highlight w:val="none"/>
        </w:rPr>
        <w:t>地    址：</w:t>
      </w:r>
      <w:r>
        <w:rPr>
          <w:rFonts w:hint="eastAsia" w:ascii="仿宋" w:hAnsi="仿宋" w:eastAsia="仿宋" w:cs="仿宋"/>
          <w:color w:val="auto"/>
          <w:sz w:val="24"/>
          <w:szCs w:val="24"/>
          <w:highlight w:val="none"/>
        </w:rPr>
        <w:t>南通市经济技术开发区居康路1号</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联 系 方 式：</w:t>
      </w:r>
      <w:r>
        <w:rPr>
          <w:rFonts w:hint="eastAsia" w:ascii="仿宋" w:hAnsi="仿宋" w:eastAsia="仿宋"/>
          <w:color w:val="auto"/>
          <w:sz w:val="24"/>
          <w:szCs w:val="24"/>
          <w:highlight w:val="none"/>
          <w:lang w:val="en-US" w:eastAsia="zh-CN"/>
        </w:rPr>
        <w:t xml:space="preserve">周老师 </w:t>
      </w:r>
      <w:r>
        <w:rPr>
          <w:rFonts w:ascii="仿宋" w:hAnsi="仿宋" w:eastAsia="仿宋"/>
          <w:color w:val="auto"/>
          <w:sz w:val="24"/>
          <w:szCs w:val="24"/>
          <w:highlight w:val="none"/>
        </w:rPr>
        <w:t>18068999019</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 xml:space="preserve"> </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2.采购代理机构信息</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名    称：苏州新一造价师价格事务所有限公司</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   址：南通市开发区长通路9号飞马国际中心A座1205室</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联 系 方 式：0513-69895656/69895668 </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3.项目联系方式</w:t>
      </w:r>
    </w:p>
    <w:p>
      <w:pPr>
        <w:spacing w:line="4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磋商文件制作人:陈蕾（</w:t>
      </w:r>
      <w:r>
        <w:rPr>
          <w:rFonts w:hint="eastAsia" w:ascii="仿宋" w:hAnsi="仿宋" w:eastAsia="仿宋"/>
          <w:color w:val="auto"/>
          <w:sz w:val="24"/>
          <w:szCs w:val="24"/>
          <w:highlight w:val="none"/>
          <w:lang w:val="en-US" w:eastAsia="zh-CN"/>
        </w:rPr>
        <w:t>18962863628</w:t>
      </w:r>
      <w:r>
        <w:rPr>
          <w:rFonts w:hint="eastAsia" w:ascii="仿宋" w:hAnsi="仿宋" w:eastAsia="仿宋"/>
          <w:color w:val="auto"/>
          <w:sz w:val="24"/>
          <w:szCs w:val="24"/>
          <w:highlight w:val="none"/>
        </w:rPr>
        <w:t>）</w:t>
      </w:r>
    </w:p>
    <w:p>
      <w:pPr>
        <w:spacing w:line="360" w:lineRule="auto"/>
        <w:jc w:val="left"/>
        <w:rPr>
          <w:rFonts w:hint="eastAsia" w:ascii="仿宋" w:hAnsi="仿宋" w:eastAsia="仿宋" w:cs="仿宋"/>
          <w:b/>
          <w:bCs w:val="0"/>
          <w:color w:val="auto"/>
          <w:kern w:val="0"/>
          <w:sz w:val="24"/>
          <w:szCs w:val="24"/>
          <w:highlight w:val="none"/>
          <w:lang w:val="en-US" w:eastAsia="zh-CN" w:bidi="ar-SA"/>
        </w:rPr>
      </w:pPr>
    </w:p>
    <w:p>
      <w:pPr>
        <w:spacing w:line="360" w:lineRule="auto"/>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注明：</w:t>
      </w:r>
    </w:p>
    <w:p>
      <w:pPr>
        <w:spacing w:line="360" w:lineRule="auto"/>
        <w:ind w:firstLine="482" w:firstLineChars="20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1）根据疫情防控工作要求，请参加本项目招投标活动的人员，在进入开标现场时，务必携带有效身份证件，规范佩戴口罩，接受实名登记和体温检测，出具近14日健康码及行程轨迹，自觉服从和配合现场工作人员安排。如各省、市有最新防控要求的，按当地最新发布的防控要求执行。</w:t>
      </w:r>
    </w:p>
    <w:p>
      <w:pPr>
        <w:spacing w:line="360" w:lineRule="auto"/>
        <w:ind w:firstLine="482" w:firstLineChars="20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2）各投标人关注微信公众号“江海南通”，及时查看已发布或最新发布的相关疫情防控要求，并按照最新发布的疫情防控要求执行，疫情防控咨询电话：0513-85590062。如因未达到当地疫情防控要求，而被限制进入开标场地的或被强制隔离等情况的，由当事人自行承担相关风险和责任。</w:t>
      </w:r>
    </w:p>
    <w:p>
      <w:pPr>
        <w:spacing w:line="360" w:lineRule="auto"/>
        <w:ind w:firstLine="422" w:firstLineChars="20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highlight w:val="none"/>
          <w:lang w:eastAsia="zh-CN"/>
        </w:rPr>
        <w:drawing>
          <wp:anchor distT="0" distB="0" distL="114300" distR="114300" simplePos="0" relativeHeight="251659264" behindDoc="1" locked="0" layoutInCell="1" allowOverlap="1">
            <wp:simplePos x="0" y="0"/>
            <wp:positionH relativeFrom="column">
              <wp:posOffset>-20320</wp:posOffset>
            </wp:positionH>
            <wp:positionV relativeFrom="paragraph">
              <wp:posOffset>272415</wp:posOffset>
            </wp:positionV>
            <wp:extent cx="1155065" cy="1167130"/>
            <wp:effectExtent l="0" t="0" r="635" b="1270"/>
            <wp:wrapTight wrapText="bothSides">
              <wp:wrapPolygon>
                <wp:start x="0" y="0"/>
                <wp:lineTo x="0" y="21388"/>
                <wp:lineTo x="21374" y="21388"/>
                <wp:lineTo x="21374" y="0"/>
                <wp:lineTo x="0" y="0"/>
              </wp:wrapPolygon>
            </wp:wrapTight>
            <wp:docPr id="3" name="图片 2" descr="b1fbfece096adf5228a9d78f592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1fbfece096adf5228a9d78f5921868"/>
                    <pic:cNvPicPr>
                      <a:picLocks noChangeAspect="1"/>
                    </pic:cNvPicPr>
                  </pic:nvPicPr>
                  <pic:blipFill>
                    <a:blip r:embed="rId5"/>
                    <a:stretch>
                      <a:fillRect/>
                    </a:stretch>
                  </pic:blipFill>
                  <pic:spPr>
                    <a:xfrm>
                      <a:off x="0" y="0"/>
                      <a:ext cx="1155065" cy="1167130"/>
                    </a:xfrm>
                    <a:prstGeom prst="rect">
                      <a:avLst/>
                    </a:prstGeom>
                    <a:noFill/>
                    <a:ln>
                      <a:noFill/>
                    </a:ln>
                  </pic:spPr>
                </pic:pic>
              </a:graphicData>
            </a:graphic>
          </wp:anchor>
        </w:drawing>
      </w:r>
      <w:r>
        <w:rPr>
          <w:rFonts w:hint="eastAsia" w:ascii="仿宋" w:hAnsi="仿宋" w:eastAsia="仿宋" w:cs="仿宋"/>
          <w:b/>
          <w:bCs w:val="0"/>
          <w:color w:val="auto"/>
          <w:kern w:val="0"/>
          <w:sz w:val="24"/>
          <w:szCs w:val="24"/>
          <w:highlight w:val="none"/>
          <w:lang w:val="en-US" w:eastAsia="zh-CN" w:bidi="ar-SA"/>
        </w:rPr>
        <w:t>“江海南通”微信公众号</w:t>
      </w:r>
    </w:p>
    <w:p>
      <w:pP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pPr>
        <w:spacing w:line="460" w:lineRule="exact"/>
        <w:jc w:val="center"/>
        <w:outlineLvl w:val="0"/>
        <w:rPr>
          <w:rFonts w:hint="eastAsia" w:ascii="仿宋" w:hAnsi="仿宋" w:eastAsia="仿宋"/>
          <w:b/>
          <w:bCs/>
          <w:color w:val="auto"/>
          <w:sz w:val="24"/>
          <w:szCs w:val="24"/>
          <w:highlight w:val="none"/>
        </w:rPr>
      </w:pPr>
      <w:r>
        <w:rPr>
          <w:rFonts w:hint="eastAsia" w:ascii="仿宋" w:hAnsi="仿宋" w:eastAsia="仿宋"/>
          <w:b/>
          <w:bCs/>
          <w:color w:val="auto"/>
          <w:sz w:val="32"/>
          <w:szCs w:val="32"/>
          <w:highlight w:val="none"/>
        </w:rPr>
        <w:t>第二章</w:t>
      </w:r>
      <w:r>
        <w:rPr>
          <w:rFonts w:hint="eastAsia" w:ascii="仿宋" w:hAnsi="仿宋" w:eastAsia="仿宋"/>
          <w:b/>
          <w:bCs/>
          <w:color w:val="auto"/>
          <w:sz w:val="32"/>
          <w:szCs w:val="32"/>
          <w:highlight w:val="none"/>
          <w:lang w:val="en-US" w:eastAsia="zh-CN"/>
        </w:rPr>
        <w:t xml:space="preserve"> </w:t>
      </w:r>
      <w:r>
        <w:rPr>
          <w:rFonts w:hint="eastAsia" w:ascii="仿宋" w:hAnsi="仿宋" w:eastAsia="仿宋"/>
          <w:b/>
          <w:bCs/>
          <w:color w:val="auto"/>
          <w:sz w:val="32"/>
          <w:szCs w:val="32"/>
          <w:highlight w:val="none"/>
        </w:rPr>
        <w:t>磋商须知</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afterLines="50" w:line="360" w:lineRule="auto"/>
        <w:jc w:val="center"/>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（参加竞争性磋商的供应商以下简称“磋商供应商”）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一、总则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1、适用范围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 本竞争性磋商文件（以下简称磋商文件）仅适用此项目。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 本项目按照项目分包，分别确定各分包成交供应商。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2、项目采购方式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本次采购采取竞争性磋商的方式。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3、合格的磋商供应商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3.1满足本磋商文件“竞争性磋商采购邀请”中合格磋商供应商资格要求的规定。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 满足本磋商文件实质性要求和条件的规定。</w:t>
      </w:r>
      <w:r>
        <w:rPr>
          <w:rFonts w:hint="eastAsia" w:ascii="仿宋" w:hAnsi="仿宋" w:eastAsia="仿宋"/>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4、参加磋商费用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4.1、</w:t>
      </w:r>
      <w:r>
        <w:rPr>
          <w:rFonts w:hint="eastAsia" w:ascii="仿宋" w:hAnsi="仿宋" w:eastAsia="仿宋"/>
          <w:b/>
          <w:bCs/>
          <w:color w:val="auto"/>
          <w:sz w:val="24"/>
          <w:szCs w:val="24"/>
          <w:highlight w:val="none"/>
        </w:rPr>
        <w:t>供应商响应文件供应商应承担其编制磋商文件以及递交磋商文件所涉及的一切费用，磋商文件每套售价300元，</w:t>
      </w:r>
      <w:r>
        <w:rPr>
          <w:rFonts w:hint="eastAsia" w:ascii="仿宋" w:hAnsi="仿宋" w:eastAsia="仿宋"/>
          <w:b/>
          <w:bCs/>
          <w:color w:val="auto"/>
          <w:sz w:val="23"/>
          <w:szCs w:val="23"/>
          <w:highlight w:val="none"/>
        </w:rPr>
        <w:t>递交投标文件时同时递交</w:t>
      </w:r>
      <w:r>
        <w:rPr>
          <w:rFonts w:hint="eastAsia" w:ascii="仿宋" w:hAnsi="仿宋" w:eastAsia="仿宋"/>
          <w:b/>
          <w:bCs/>
          <w:color w:val="auto"/>
          <w:sz w:val="24"/>
          <w:szCs w:val="24"/>
          <w:highlight w:val="none"/>
        </w:rPr>
        <w:t>，否则视为放弃投标权利处理。无论投标结果如何，采购人对上述费用不负任何责任。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5、磋商文件的约束力</w:t>
      </w:r>
    </w:p>
    <w:p>
      <w:pPr>
        <w:keepNext w:val="0"/>
        <w:keepLines w:val="0"/>
        <w:pageBreakBefore w:val="0"/>
        <w:widowControl w:val="0"/>
        <w:kinsoku/>
        <w:wordWrap/>
        <w:overflowPunct/>
        <w:topLinePunct w:val="0"/>
        <w:autoSpaceDE/>
        <w:autoSpaceDN/>
        <w:bidi w:val="0"/>
        <w:adjustRightInd/>
        <w:snapToGrid/>
        <w:spacing w:line="360" w:lineRule="auto"/>
        <w:ind w:left="120" w:leftChars="57"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供应商一旦下载了本磋商文件并决定参加磋商，即被认为接受了本磋商文件的规定和约束，并且视为自竞争性磋商公告期限届满之日起已经知道或应当知道自身权益是否受到了损害。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00" w:firstLineChars="25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6、磋商文件的询问及修改</w:t>
      </w:r>
    </w:p>
    <w:p>
      <w:pPr>
        <w:keepNext w:val="0"/>
        <w:keepLines w:val="0"/>
        <w:pageBreakBefore w:val="0"/>
        <w:kinsoku/>
        <w:wordWrap/>
        <w:overflowPunct/>
        <w:topLinePunct w:val="0"/>
        <w:autoSpaceDE/>
        <w:autoSpaceDN/>
        <w:bidi w:val="0"/>
        <w:adjustRightInd/>
        <w:snapToGrid/>
        <w:spacing w:line="360" w:lineRule="auto"/>
        <w:ind w:left="120" w:leftChars="57" w:right="0" w:rightChars="0" w:firstLine="480" w:firstLineChars="200"/>
        <w:jc w:val="left"/>
        <w:textAlignment w:val="auto"/>
        <w:outlineLvl w:val="9"/>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fldChar w:fldCharType="begin"/>
      </w:r>
      <w:r>
        <w:rPr>
          <w:rFonts w:hint="eastAsia" w:ascii="仿宋" w:hAnsi="仿宋" w:eastAsia="仿宋"/>
          <w:color w:val="auto"/>
          <w:sz w:val="24"/>
          <w:szCs w:val="24"/>
          <w:highlight w:val="none"/>
          <w:u w:val="none"/>
        </w:rPr>
        <w:instrText xml:space="preserve"> HYPERLINK "mailto:6.1任何要求对磋商文件进行询问的供应商，均应在本磋商文件公告期限届满之日内以电子文件形式（不具单位名称）发送至ntxyjhy@163.com邮箱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南通市公共资源交易网上发布书面更正公告形式通知所有获取磋商文件的供应商。不足五日的，代理机构应当顺延提交首次响应文件截止时间。" </w:instrText>
      </w:r>
      <w:r>
        <w:rPr>
          <w:rFonts w:hint="eastAsia" w:ascii="仿宋" w:hAnsi="仿宋" w:eastAsia="仿宋"/>
          <w:color w:val="auto"/>
          <w:sz w:val="24"/>
          <w:szCs w:val="24"/>
          <w:highlight w:val="none"/>
          <w:u w:val="none"/>
        </w:rPr>
        <w:fldChar w:fldCharType="separate"/>
      </w:r>
      <w:r>
        <w:rPr>
          <w:rStyle w:val="17"/>
          <w:rFonts w:hint="eastAsia" w:ascii="仿宋" w:hAnsi="仿宋" w:eastAsia="仿宋"/>
          <w:color w:val="auto"/>
          <w:sz w:val="24"/>
          <w:szCs w:val="24"/>
          <w:highlight w:val="none"/>
          <w:u w:val="none"/>
        </w:rPr>
        <w:t>6.1任何要求对磋商文件进行询问的供应商，</w:t>
      </w:r>
      <w:r>
        <w:rPr>
          <w:rStyle w:val="17"/>
          <w:rFonts w:ascii="仿宋" w:hAnsi="仿宋" w:eastAsia="仿宋"/>
          <w:color w:val="auto"/>
          <w:sz w:val="24"/>
          <w:szCs w:val="24"/>
          <w:highlight w:val="none"/>
          <w:u w:val="none"/>
        </w:rPr>
        <w:t>均应在</w:t>
      </w:r>
      <w:r>
        <w:rPr>
          <w:rStyle w:val="17"/>
          <w:rFonts w:hint="eastAsia" w:ascii="仿宋" w:hAnsi="仿宋" w:eastAsia="仿宋"/>
          <w:color w:val="auto"/>
          <w:sz w:val="24"/>
          <w:szCs w:val="24"/>
          <w:highlight w:val="none"/>
          <w:u w:val="none"/>
        </w:rPr>
        <w:t>本</w:t>
      </w:r>
      <w:r>
        <w:rPr>
          <w:rStyle w:val="17"/>
          <w:rFonts w:ascii="仿宋" w:hAnsi="仿宋" w:eastAsia="仿宋"/>
          <w:color w:val="auto"/>
          <w:sz w:val="24"/>
          <w:szCs w:val="24"/>
          <w:highlight w:val="none"/>
          <w:u w:val="none"/>
        </w:rPr>
        <w:t>磋商文件公告期限届满之日</w:t>
      </w:r>
      <w:r>
        <w:rPr>
          <w:rStyle w:val="17"/>
          <w:rFonts w:hint="eastAsia" w:ascii="仿宋" w:hAnsi="仿宋" w:eastAsia="仿宋"/>
          <w:color w:val="auto"/>
          <w:sz w:val="24"/>
          <w:szCs w:val="24"/>
          <w:highlight w:val="none"/>
          <w:u w:val="none"/>
        </w:rPr>
        <w:t>内</w:t>
      </w:r>
      <w:r>
        <w:rPr>
          <w:rStyle w:val="17"/>
          <w:rFonts w:ascii="仿宋" w:hAnsi="仿宋" w:eastAsia="仿宋"/>
          <w:color w:val="auto"/>
          <w:sz w:val="24"/>
          <w:szCs w:val="24"/>
          <w:highlight w:val="none"/>
          <w:u w:val="none"/>
        </w:rPr>
        <w:t>以电子文件形式（不具单位名称）发送至</w:t>
      </w:r>
      <w:r>
        <w:rPr>
          <w:rStyle w:val="17"/>
          <w:rFonts w:ascii="仿宋" w:hAnsi="仿宋" w:eastAsia="仿宋"/>
          <w:b/>
          <w:bCs/>
          <w:color w:val="auto"/>
          <w:sz w:val="24"/>
          <w:szCs w:val="24"/>
          <w:highlight w:val="none"/>
          <w:u w:val="none"/>
        </w:rPr>
        <w:t>nt</w:t>
      </w:r>
      <w:r>
        <w:rPr>
          <w:rStyle w:val="17"/>
          <w:rFonts w:hint="eastAsia" w:ascii="仿宋" w:hAnsi="仿宋" w:eastAsia="仿宋"/>
          <w:b/>
          <w:bCs/>
          <w:color w:val="auto"/>
          <w:sz w:val="24"/>
          <w:szCs w:val="24"/>
          <w:highlight w:val="none"/>
          <w:u w:val="none"/>
        </w:rPr>
        <w:t>xy</w:t>
      </w:r>
      <w:r>
        <w:rPr>
          <w:rStyle w:val="17"/>
          <w:rFonts w:ascii="仿宋" w:hAnsi="仿宋" w:eastAsia="仿宋"/>
          <w:b/>
          <w:bCs/>
          <w:color w:val="auto"/>
          <w:sz w:val="24"/>
          <w:szCs w:val="24"/>
          <w:highlight w:val="none"/>
          <w:u w:val="none"/>
        </w:rPr>
        <w:t>jhy@163.com</w:t>
      </w:r>
      <w:r>
        <w:rPr>
          <w:rStyle w:val="17"/>
          <w:rFonts w:ascii="仿宋" w:hAnsi="仿宋" w:eastAsia="仿宋"/>
          <w:color w:val="auto"/>
          <w:sz w:val="24"/>
          <w:szCs w:val="24"/>
          <w:highlight w:val="none"/>
          <w:u w:val="none"/>
        </w:rPr>
        <w:t>邮箱向采购人或代理机构提出。</w:t>
      </w:r>
      <w:r>
        <w:rPr>
          <w:rStyle w:val="17"/>
          <w:rFonts w:hint="eastAsia" w:ascii="仿宋" w:hAnsi="仿宋" w:eastAsia="仿宋"/>
          <w:color w:val="auto"/>
          <w:sz w:val="24"/>
          <w:szCs w:val="24"/>
          <w:highlight w:val="none"/>
          <w:u w:val="none"/>
        </w:rPr>
        <w:t>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Pr>
          <w:rStyle w:val="17"/>
          <w:rFonts w:hint="eastAsia" w:ascii="仿宋" w:hAnsi="仿宋" w:eastAsia="仿宋"/>
          <w:color w:val="auto"/>
          <w:sz w:val="24"/>
          <w:szCs w:val="24"/>
          <w:highlight w:val="none"/>
          <w:u w:val="none"/>
          <w:lang w:eastAsia="zh-CN"/>
        </w:rPr>
        <w:t>南通开发区教育网</w:t>
      </w:r>
      <w:r>
        <w:rPr>
          <w:rStyle w:val="17"/>
          <w:rFonts w:hint="eastAsia" w:ascii="仿宋" w:hAnsi="仿宋" w:eastAsia="仿宋"/>
          <w:color w:val="auto"/>
          <w:sz w:val="24"/>
          <w:szCs w:val="24"/>
          <w:highlight w:val="none"/>
          <w:u w:val="none"/>
        </w:rPr>
        <w:t>上发布书面更正公告形式通知所有获取磋商文件的供应商。不足五日的，代理机构应当顺延提交首次响应文件截止时间。</w:t>
      </w:r>
      <w:r>
        <w:rPr>
          <w:rFonts w:hint="eastAsia" w:ascii="仿宋" w:hAnsi="仿宋" w:eastAsia="仿宋"/>
          <w:color w:val="auto"/>
          <w:sz w:val="24"/>
          <w:szCs w:val="24"/>
          <w:highlight w:val="none"/>
          <w:u w:val="none"/>
        </w:rPr>
        <w:fldChar w:fldCharType="end"/>
      </w:r>
    </w:p>
    <w:p>
      <w:pPr>
        <w:keepNext w:val="0"/>
        <w:keepLines w:val="0"/>
        <w:pageBreakBefore w:val="0"/>
        <w:kinsoku/>
        <w:wordWrap/>
        <w:overflowPunct/>
        <w:topLinePunct w:val="0"/>
        <w:autoSpaceDE/>
        <w:autoSpaceDN/>
        <w:bidi w:val="0"/>
        <w:adjustRightInd/>
        <w:snapToGrid/>
        <w:spacing w:line="360" w:lineRule="auto"/>
        <w:ind w:left="120" w:leftChars="57"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6.2代理机构或采购人可以视采购项目的具体情况，组织供应商进行现场考察或召开磋商前答疑会，但不单独或分别组织只有一个供应商参加的现场考察和答疑会。</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7、磋商文件的解释</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 本磋商文件由代理机构负责解释。</w:t>
      </w:r>
    </w:p>
    <w:p>
      <w:pPr>
        <w:keepNext w:val="0"/>
        <w:keepLines w:val="0"/>
        <w:pageBreakBefore w:val="0"/>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二、供应商响应文件的编制</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1、磋商响应文件内容</w:t>
      </w:r>
    </w:p>
    <w:p>
      <w:pPr>
        <w:pStyle w:val="2"/>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1.1</w:t>
      </w:r>
      <w:r>
        <w:rPr>
          <w:rFonts w:hint="eastAsia" w:ascii="仿宋" w:hAnsi="仿宋" w:eastAsia="仿宋"/>
          <w:b/>
          <w:bCs/>
          <w:color w:val="auto"/>
          <w:sz w:val="23"/>
          <w:szCs w:val="23"/>
          <w:highlight w:val="none"/>
        </w:rPr>
        <w:t>资格审查资料包（可提供一个密封包，一正二副）</w:t>
      </w:r>
    </w:p>
    <w:p>
      <w:pPr>
        <w:keepNext w:val="0"/>
        <w:keepLines w:val="0"/>
        <w:pageBreakBefore w:val="0"/>
        <w:widowControl/>
        <w:kinsoku/>
        <w:wordWrap/>
        <w:overflowPunct/>
        <w:topLinePunct w:val="0"/>
        <w:autoSpaceDE/>
        <w:autoSpaceDN/>
        <w:bidi w:val="0"/>
        <w:adjustRightInd/>
        <w:snapToGrid/>
        <w:spacing w:line="360" w:lineRule="auto"/>
        <w:ind w:right="0" w:rightChars="0" w:firstLine="46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3"/>
          <w:szCs w:val="23"/>
          <w:highlight w:val="none"/>
        </w:rPr>
        <w:t>（1）</w:t>
      </w:r>
      <w:r>
        <w:rPr>
          <w:rFonts w:hint="eastAsia" w:ascii="仿宋" w:hAnsi="仿宋" w:eastAsia="仿宋"/>
          <w:color w:val="auto"/>
          <w:sz w:val="24"/>
          <w:szCs w:val="24"/>
          <w:highlight w:val="none"/>
        </w:rPr>
        <w:t>磋商供应商有效的营业执照</w:t>
      </w:r>
      <w:r>
        <w:rPr>
          <w:rFonts w:hint="eastAsia" w:ascii="仿宋" w:hAnsi="仿宋" w:eastAsia="仿宋"/>
          <w:color w:val="auto"/>
          <w:sz w:val="24"/>
          <w:szCs w:val="24"/>
          <w:highlight w:val="none"/>
          <w:lang w:eastAsia="zh-CN"/>
        </w:rPr>
        <w:t>或事业单位法人证书</w:t>
      </w:r>
      <w:r>
        <w:rPr>
          <w:rFonts w:hint="eastAsia" w:ascii="仿宋" w:hAnsi="仿宋" w:eastAsia="仿宋"/>
          <w:color w:val="auto"/>
          <w:sz w:val="24"/>
          <w:szCs w:val="24"/>
          <w:highlight w:val="none"/>
        </w:rPr>
        <w:t>（副本）</w:t>
      </w:r>
      <w:r>
        <w:rPr>
          <w:rFonts w:hint="eastAsia" w:ascii="仿宋" w:hAnsi="仿宋" w:eastAsia="仿宋"/>
          <w:color w:val="auto"/>
          <w:kern w:val="0"/>
          <w:sz w:val="24"/>
          <w:szCs w:val="24"/>
          <w:highlight w:val="none"/>
        </w:rPr>
        <w:t>（提供复印件并加盖公章，原件备查）；</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60" w:firstLineChars="200"/>
        <w:textAlignment w:val="auto"/>
        <w:outlineLvl w:val="9"/>
        <w:rPr>
          <w:rFonts w:hint="eastAsia" w:ascii="仿宋" w:hAnsi="仿宋" w:eastAsia="仿宋"/>
          <w:color w:val="auto"/>
          <w:sz w:val="23"/>
          <w:szCs w:val="23"/>
          <w:highlight w:val="none"/>
        </w:rPr>
      </w:pPr>
      <w:r>
        <w:rPr>
          <w:rFonts w:hint="eastAsia" w:ascii="仿宋" w:hAnsi="仿宋" w:eastAsia="仿宋"/>
          <w:color w:val="auto"/>
          <w:sz w:val="23"/>
          <w:szCs w:val="23"/>
          <w:highlight w:val="none"/>
        </w:rPr>
        <w:t>（2）具有良好的商业信誉和健全的财务会计制度</w:t>
      </w:r>
      <w:r>
        <w:rPr>
          <w:rFonts w:hint="eastAsia" w:ascii="仿宋" w:hAnsi="仿宋" w:eastAsia="仿宋"/>
          <w:color w:val="auto"/>
          <w:sz w:val="24"/>
          <w:szCs w:val="24"/>
          <w:highlight w:val="none"/>
        </w:rPr>
        <w:t>【提供上一年度的财务状况报告（成立不满一年不需提供）】</w:t>
      </w:r>
      <w:r>
        <w:rPr>
          <w:rFonts w:hint="eastAsia" w:ascii="仿宋" w:hAnsi="仿宋" w:eastAsia="仿宋"/>
          <w:color w:val="auto"/>
          <w:sz w:val="23"/>
          <w:szCs w:val="23"/>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60" w:firstLineChars="200"/>
        <w:textAlignment w:val="auto"/>
        <w:outlineLvl w:val="9"/>
        <w:rPr>
          <w:rFonts w:hint="eastAsia" w:ascii="仿宋" w:hAnsi="仿宋" w:eastAsia="仿宋"/>
          <w:color w:val="auto"/>
          <w:sz w:val="23"/>
          <w:szCs w:val="23"/>
          <w:highlight w:val="none"/>
        </w:rPr>
      </w:pPr>
      <w:r>
        <w:rPr>
          <w:rFonts w:hint="eastAsia" w:ascii="仿宋" w:hAnsi="仿宋" w:eastAsia="仿宋"/>
          <w:color w:val="auto"/>
          <w:sz w:val="23"/>
          <w:szCs w:val="23"/>
          <w:highlight w:val="none"/>
        </w:rPr>
        <w:t>（3）具有履行合同所必须的设备和专业技术能力</w:t>
      </w:r>
      <w:r>
        <w:rPr>
          <w:rFonts w:hint="eastAsia" w:ascii="仿宋" w:hAnsi="仿宋" w:eastAsia="仿宋"/>
          <w:color w:val="auto"/>
          <w:sz w:val="24"/>
          <w:szCs w:val="24"/>
          <w:highlight w:val="none"/>
        </w:rPr>
        <w:t>（提供承诺函，按第七章后附格）</w:t>
      </w:r>
      <w:r>
        <w:rPr>
          <w:rFonts w:hint="eastAsia" w:ascii="仿宋" w:hAnsi="仿宋" w:eastAsia="仿宋"/>
          <w:color w:val="auto"/>
          <w:sz w:val="23"/>
          <w:szCs w:val="23"/>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60" w:firstLineChars="200"/>
        <w:textAlignment w:val="auto"/>
        <w:outlineLvl w:val="9"/>
        <w:rPr>
          <w:rFonts w:hint="eastAsia" w:ascii="仿宋" w:hAnsi="仿宋" w:eastAsia="仿宋"/>
          <w:color w:val="auto"/>
          <w:sz w:val="23"/>
          <w:szCs w:val="23"/>
          <w:highlight w:val="none"/>
        </w:rPr>
      </w:pPr>
      <w:r>
        <w:rPr>
          <w:rFonts w:hint="eastAsia" w:ascii="仿宋" w:hAnsi="仿宋" w:eastAsia="仿宋"/>
          <w:color w:val="auto"/>
          <w:sz w:val="23"/>
          <w:szCs w:val="23"/>
          <w:highlight w:val="none"/>
        </w:rPr>
        <w:t>（4）有依法缴纳税收和社会保障资金的良好记录</w:t>
      </w:r>
      <w:r>
        <w:rPr>
          <w:rFonts w:hint="eastAsia" w:ascii="仿宋" w:hAnsi="仿宋" w:eastAsia="仿宋"/>
          <w:color w:val="auto"/>
          <w:sz w:val="24"/>
          <w:szCs w:val="24"/>
          <w:highlight w:val="none"/>
        </w:rPr>
        <w:t>（提供最近的依法缴纳税收和社会保障资金的相关材料）</w:t>
      </w:r>
      <w:r>
        <w:rPr>
          <w:rFonts w:hint="eastAsia" w:ascii="仿宋" w:hAnsi="仿宋" w:eastAsia="仿宋"/>
          <w:color w:val="auto"/>
          <w:sz w:val="23"/>
          <w:szCs w:val="23"/>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60" w:firstLineChars="200"/>
        <w:textAlignment w:val="auto"/>
        <w:outlineLvl w:val="9"/>
        <w:rPr>
          <w:rFonts w:hint="eastAsia" w:ascii="仿宋" w:hAnsi="仿宋" w:eastAsia="仿宋"/>
          <w:color w:val="auto"/>
          <w:sz w:val="23"/>
          <w:szCs w:val="23"/>
          <w:highlight w:val="none"/>
        </w:rPr>
      </w:pPr>
      <w:r>
        <w:rPr>
          <w:rFonts w:hint="eastAsia" w:ascii="仿宋" w:hAnsi="仿宋" w:eastAsia="仿宋"/>
          <w:color w:val="auto"/>
          <w:sz w:val="23"/>
          <w:szCs w:val="23"/>
          <w:highlight w:val="none"/>
        </w:rPr>
        <w:t>（5）参加政府采购活动近三年内，在经营活动中没有重大违法记录（</w:t>
      </w:r>
      <w:r>
        <w:rPr>
          <w:rFonts w:hint="eastAsia" w:ascii="仿宋" w:hAnsi="仿宋" w:eastAsia="仿宋"/>
          <w:color w:val="auto"/>
          <w:sz w:val="24"/>
          <w:szCs w:val="24"/>
          <w:highlight w:val="none"/>
        </w:rPr>
        <w:t>按第七章后附格式）</w:t>
      </w:r>
      <w:r>
        <w:rPr>
          <w:rFonts w:hint="eastAsia" w:ascii="仿宋" w:hAnsi="仿宋" w:eastAsia="仿宋"/>
          <w:color w:val="auto"/>
          <w:sz w:val="23"/>
          <w:szCs w:val="23"/>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hint="eastAsia" w:ascii="仿宋" w:hAnsi="仿宋" w:eastAsia="仿宋"/>
          <w:color w:val="auto"/>
          <w:kern w:val="0"/>
          <w:sz w:val="24"/>
          <w:szCs w:val="24"/>
          <w:highlight w:val="none"/>
        </w:rPr>
        <w:t>法定代表人参加投标的，必须提供法人身份证明原件及本人身份证原件；非法定代表人参加的，必须提供法定代表人签名或盖章的授权委托书原件及被委托授权人身份证原件的这两项（须加盖公章）；</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宋体"/>
          <w:color w:val="auto"/>
          <w:kern w:val="0"/>
          <w:sz w:val="24"/>
          <w:szCs w:val="24"/>
          <w:highlight w:val="none"/>
        </w:rPr>
      </w:pPr>
      <w:r>
        <w:rPr>
          <w:rFonts w:hint="eastAsia" w:ascii="仿宋" w:hAnsi="仿宋" w:eastAsia="仿宋"/>
          <w:color w:val="auto"/>
          <w:kern w:val="0"/>
          <w:sz w:val="24"/>
          <w:szCs w:val="24"/>
          <w:highlight w:val="none"/>
        </w:rPr>
        <w:t>（7）</w:t>
      </w:r>
      <w:r>
        <w:rPr>
          <w:rFonts w:hint="eastAsia" w:ascii="仿宋" w:hAnsi="仿宋" w:eastAsia="仿宋" w:cs="宋体"/>
          <w:color w:val="auto"/>
          <w:kern w:val="0"/>
          <w:sz w:val="24"/>
          <w:szCs w:val="24"/>
          <w:highlight w:val="none"/>
        </w:rPr>
        <w:t>响应供应商未被“信用中国”网站（www.creditchina.gov.cn）、中国政府采购网（www.ccgp.gov.cn）列入失信被执行人、重大税收违法案件当事人名单、政府采购严重失信行为记录名单；为确保政府采购守法供应商公平参加政府采购活动，采购代理机构将在开标开始后一个小时内，通过信用中国网站和中国政府采购网对供应商信用信息进行查询查证，并将查询记录截屏打印保存在采购档案内。</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kern w:val="0"/>
          <w:sz w:val="24"/>
          <w:szCs w:val="24"/>
          <w:highlight w:val="none"/>
        </w:rPr>
        <w:t>（8）</w:t>
      </w:r>
      <w:r>
        <w:rPr>
          <w:rFonts w:hint="eastAsia" w:ascii="仿宋" w:hAnsi="仿宋" w:eastAsia="仿宋"/>
          <w:color w:val="auto"/>
          <w:sz w:val="24"/>
          <w:szCs w:val="24"/>
          <w:highlight w:val="none"/>
        </w:rPr>
        <w:t>供应商响应文件函（格式按第七章）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highlight w:val="none"/>
        </w:rPr>
      </w:pPr>
    </w:p>
    <w:p>
      <w:pPr>
        <w:keepNext w:val="0"/>
        <w:keepLines w:val="0"/>
        <w:pageBreakBefore w:val="0"/>
        <w:widowControl w:val="0"/>
        <w:kinsoku/>
        <w:wordWrap/>
        <w:overflowPunct/>
        <w:topLinePunct w:val="0"/>
        <w:bidi w:val="0"/>
        <w:snapToGrid/>
        <w:spacing w:line="360" w:lineRule="auto"/>
        <w:ind w:left="0" w:leftChars="0" w:right="0" w:rightChars="0" w:firstLine="480" w:firstLineChars="200"/>
        <w:textAlignment w:val="auto"/>
        <w:outlineLvl w:val="9"/>
        <w:rPr>
          <w:rFonts w:hint="eastAsia"/>
          <w:color w:val="auto"/>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）符合法律、法规规定的其他条件。</w:t>
      </w:r>
    </w:p>
    <w:p>
      <w:pPr>
        <w:pStyle w:val="2"/>
        <w:keepNext w:val="0"/>
        <w:keepLines w:val="0"/>
        <w:pageBreakBefore w:val="0"/>
        <w:widowControl w:val="0"/>
        <w:kinsoku/>
        <w:wordWrap/>
        <w:overflowPunct/>
        <w:topLinePunct w:val="0"/>
        <w:bidi w:val="0"/>
        <w:snapToGrid/>
        <w:spacing w:line="360" w:lineRule="auto"/>
        <w:ind w:left="0" w:leftChars="0" w:right="0" w:rightChars="0" w:firstLine="600" w:firstLineChars="25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以上未尽之处详见第五章资格审查</w:t>
      </w:r>
    </w:p>
    <w:p>
      <w:pPr>
        <w:pStyle w:val="25"/>
        <w:keepNext w:val="0"/>
        <w:keepLines w:val="0"/>
        <w:pageBreakBefore w:val="0"/>
        <w:widowControl w:val="0"/>
        <w:kinsoku/>
        <w:wordWrap/>
        <w:overflowPunct/>
        <w:topLinePunct w:val="0"/>
        <w:bidi w:val="0"/>
        <w:snapToGrid/>
        <w:spacing w:line="360" w:lineRule="auto"/>
        <w:ind w:left="0" w:leftChars="0" w:right="0" w:rightChars="0" w:firstLine="236" w:firstLineChars="98"/>
        <w:textAlignment w:val="auto"/>
        <w:outlineLvl w:val="9"/>
        <w:rPr>
          <w:rFonts w:hint="eastAsia" w:ascii="仿宋" w:hAnsi="仿宋" w:eastAsia="仿宋"/>
          <w:b/>
          <w:bCs/>
          <w:color w:val="auto"/>
          <w:highlight w:val="none"/>
        </w:rPr>
      </w:pPr>
      <w:r>
        <w:rPr>
          <w:rFonts w:hint="eastAsia" w:ascii="仿宋" w:hAnsi="仿宋" w:eastAsia="仿宋"/>
          <w:b/>
          <w:bCs/>
          <w:color w:val="auto"/>
          <w:highlight w:val="none"/>
        </w:rPr>
        <w:t>【特别提醒】未携带要求的原件或因携带原件不齐全而引起的后果，由响应磋商的供应商自负。</w:t>
      </w:r>
    </w:p>
    <w:p>
      <w:pPr>
        <w:keepNext w:val="0"/>
        <w:keepLines w:val="0"/>
        <w:pageBreakBefore w:val="0"/>
        <w:widowControl w:val="0"/>
        <w:kinsoku/>
        <w:wordWrap/>
        <w:overflowPunct/>
        <w:topLinePunct w:val="0"/>
        <w:bidi w:val="0"/>
        <w:snapToGrid/>
        <w:spacing w:line="360" w:lineRule="auto"/>
        <w:ind w:left="0" w:leftChars="0" w:right="0" w:rightChars="0" w:firstLine="241" w:firstLineChars="100"/>
        <w:textAlignment w:val="auto"/>
        <w:outlineLvl w:val="9"/>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lang w:val="en-US" w:eastAsia="zh-CN"/>
        </w:rPr>
        <w:t xml:space="preserve">  </w:t>
      </w:r>
      <w:r>
        <w:rPr>
          <w:rFonts w:hint="eastAsia" w:ascii="仿宋" w:hAnsi="仿宋" w:eastAsia="仿宋"/>
          <w:b/>
          <w:bCs/>
          <w:color w:val="auto"/>
          <w:kern w:val="0"/>
          <w:sz w:val="24"/>
          <w:szCs w:val="24"/>
          <w:highlight w:val="none"/>
        </w:rPr>
        <w:t>1.</w:t>
      </w:r>
      <w:r>
        <w:rPr>
          <w:rFonts w:hint="eastAsia" w:ascii="仿宋" w:hAnsi="仿宋" w:eastAsia="仿宋"/>
          <w:b/>
          <w:bCs/>
          <w:color w:val="auto"/>
          <w:kern w:val="0"/>
          <w:sz w:val="24"/>
          <w:szCs w:val="24"/>
          <w:highlight w:val="none"/>
          <w:lang w:val="en-US" w:eastAsia="zh-CN"/>
        </w:rPr>
        <w:t>2</w:t>
      </w:r>
      <w:r>
        <w:rPr>
          <w:rFonts w:hint="eastAsia" w:ascii="仿宋" w:hAnsi="仿宋" w:eastAsia="仿宋"/>
          <w:b/>
          <w:bCs/>
          <w:color w:val="auto"/>
          <w:kern w:val="0"/>
          <w:sz w:val="24"/>
          <w:szCs w:val="24"/>
          <w:highlight w:val="none"/>
        </w:rPr>
        <w:t xml:space="preserve">  技术标（可提供一个密封包，一正二副）</w:t>
      </w:r>
    </w:p>
    <w:p>
      <w:pPr>
        <w:keepNext w:val="0"/>
        <w:keepLines w:val="0"/>
        <w:pageBreakBefore w:val="0"/>
        <w:widowControl w:val="0"/>
        <w:kinsoku/>
        <w:wordWrap/>
        <w:overflowPunct/>
        <w:topLinePunct w:val="0"/>
        <w:bidi w:val="0"/>
        <w:snapToGrid/>
        <w:spacing w:line="360" w:lineRule="auto"/>
        <w:ind w:left="0" w:leftChars="0" w:right="0" w:rightChars="0" w:firstLine="359" w:firstLineChars="149"/>
        <w:textAlignment w:val="auto"/>
        <w:outlineLvl w:val="9"/>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（1）封面</w:t>
      </w:r>
    </w:p>
    <w:p>
      <w:pPr>
        <w:keepNext w:val="0"/>
        <w:keepLines w:val="0"/>
        <w:pageBreakBefore w:val="0"/>
        <w:widowControl w:val="0"/>
        <w:kinsoku/>
        <w:wordWrap/>
        <w:overflowPunct/>
        <w:topLinePunct w:val="0"/>
        <w:bidi w:val="0"/>
        <w:snapToGrid/>
        <w:spacing w:line="360" w:lineRule="auto"/>
        <w:ind w:left="0" w:leftChars="0" w:right="0" w:rightChars="0" w:firstLine="359" w:firstLineChars="149"/>
        <w:textAlignment w:val="auto"/>
        <w:outlineLvl w:val="9"/>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（2）</w:t>
      </w:r>
      <w:r>
        <w:rPr>
          <w:rFonts w:hint="eastAsia" w:ascii="仿宋" w:hAnsi="仿宋" w:eastAsia="仿宋"/>
          <w:b/>
          <w:bCs/>
          <w:color w:val="auto"/>
          <w:kern w:val="0"/>
          <w:sz w:val="24"/>
          <w:szCs w:val="24"/>
          <w:highlight w:val="none"/>
          <w:lang w:eastAsia="zh-CN"/>
        </w:rPr>
        <w:t>磋商</w:t>
      </w:r>
      <w:r>
        <w:rPr>
          <w:rFonts w:hint="eastAsia" w:ascii="仿宋" w:hAnsi="仿宋" w:eastAsia="仿宋"/>
          <w:b/>
          <w:bCs/>
          <w:color w:val="auto"/>
          <w:kern w:val="0"/>
          <w:sz w:val="24"/>
          <w:szCs w:val="24"/>
          <w:highlight w:val="none"/>
        </w:rPr>
        <w:t>响应函</w:t>
      </w:r>
    </w:p>
    <w:p>
      <w:pPr>
        <w:keepNext w:val="0"/>
        <w:keepLines w:val="0"/>
        <w:pageBreakBefore w:val="0"/>
        <w:widowControl w:val="0"/>
        <w:kinsoku/>
        <w:wordWrap/>
        <w:overflowPunct/>
        <w:topLinePunct w:val="0"/>
        <w:bidi w:val="0"/>
        <w:adjustRightInd w:val="0"/>
        <w:snapToGrid/>
        <w:spacing w:line="360" w:lineRule="auto"/>
        <w:ind w:left="0" w:leftChars="0" w:right="0" w:rightChars="0" w:firstLine="359" w:firstLineChars="149"/>
        <w:jc w:val="left"/>
        <w:textAlignment w:val="auto"/>
        <w:outlineLvl w:val="9"/>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（3）根据第六章“</w:t>
      </w:r>
      <w:r>
        <w:rPr>
          <w:rFonts w:hint="eastAsia" w:ascii="仿宋" w:hAnsi="仿宋" w:eastAsia="仿宋"/>
          <w:b/>
          <w:bCs/>
          <w:color w:val="auto"/>
          <w:kern w:val="0"/>
          <w:sz w:val="24"/>
          <w:szCs w:val="24"/>
          <w:highlight w:val="none"/>
          <w:lang w:eastAsia="zh-CN"/>
        </w:rPr>
        <w:t>磋商</w:t>
      </w:r>
      <w:r>
        <w:rPr>
          <w:rFonts w:hint="eastAsia" w:ascii="仿宋" w:hAnsi="仿宋" w:eastAsia="仿宋"/>
          <w:b/>
          <w:bCs/>
          <w:color w:val="auto"/>
          <w:kern w:val="0"/>
          <w:sz w:val="24"/>
          <w:szCs w:val="24"/>
          <w:highlight w:val="none"/>
        </w:rPr>
        <w:t>办法”2.2.2 条款技术标的评审因素及评审标准提供相关投标资料。</w:t>
      </w:r>
    </w:p>
    <w:p>
      <w:pPr>
        <w:pStyle w:val="2"/>
        <w:keepNext w:val="0"/>
        <w:keepLines w:val="0"/>
        <w:pageBreakBefore w:val="0"/>
        <w:widowControl w:val="0"/>
        <w:kinsoku/>
        <w:wordWrap/>
        <w:overflowPunct/>
        <w:topLinePunct w:val="0"/>
        <w:bidi w:val="0"/>
        <w:snapToGrid/>
        <w:spacing w:line="360" w:lineRule="auto"/>
        <w:ind w:left="0" w:leftChars="0" w:right="0" w:rightChars="0" w:firstLine="354" w:firstLineChars="147"/>
        <w:textAlignment w:val="auto"/>
        <w:outlineLvl w:val="9"/>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（4）商务技术条款响应一览表</w:t>
      </w:r>
    </w:p>
    <w:p>
      <w:pPr>
        <w:keepNext w:val="0"/>
        <w:keepLines w:val="0"/>
        <w:pageBreakBefore w:val="0"/>
        <w:widowControl w:val="0"/>
        <w:kinsoku/>
        <w:wordWrap/>
        <w:overflowPunct/>
        <w:topLinePunct w:val="0"/>
        <w:bidi w:val="0"/>
        <w:snapToGrid/>
        <w:spacing w:line="360" w:lineRule="auto"/>
        <w:ind w:left="0" w:leftChars="0" w:right="0" w:rightChars="0" w:firstLine="360" w:firstLineChars="15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（5）投标人认为需要提交的其他资料。</w:t>
      </w:r>
    </w:p>
    <w:p>
      <w:pPr>
        <w:keepNext w:val="0"/>
        <w:keepLines w:val="0"/>
        <w:pageBreakBefore w:val="0"/>
        <w:widowControl w:val="0"/>
        <w:kinsoku/>
        <w:wordWrap/>
        <w:overflowPunct/>
        <w:topLinePunct w:val="0"/>
        <w:bidi w:val="0"/>
        <w:adjustRightInd w:val="0"/>
        <w:snapToGrid/>
        <w:spacing w:line="360" w:lineRule="auto"/>
        <w:ind w:left="0" w:leftChars="0" w:right="0" w:rightChars="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kern w:val="0"/>
          <w:sz w:val="24"/>
          <w:szCs w:val="24"/>
          <w:highlight w:val="none"/>
        </w:rPr>
        <w:t>注明：各投标单位根据本项目技术标文件目录中的内容按顺序编制目录和页码范围（以</w:t>
      </w:r>
      <w:r>
        <w:rPr>
          <w:rFonts w:hint="eastAsia" w:ascii="仿宋" w:hAnsi="仿宋" w:eastAsia="仿宋"/>
          <w:color w:val="auto"/>
          <w:sz w:val="24"/>
          <w:szCs w:val="24"/>
          <w:highlight w:val="none"/>
        </w:rPr>
        <w:t>上条款的具体内容及要求请按照本磋商文件第六章“评标办法”2.2.2 条款技术标的评审因素及评审标准提供相关投标资料），以上条款中相关所有证明材料或证书需提供复印件并加盖单位公章，同时提供技术标中要求提供原件的，请带至开标现场查验，无原件不予得分。若原件未带或不符合等原因造成一切后果由投标单位承担。</w:t>
      </w:r>
    </w:p>
    <w:p>
      <w:pPr>
        <w:keepNext w:val="0"/>
        <w:keepLines w:val="0"/>
        <w:pageBreakBefore w:val="0"/>
        <w:widowControl w:val="0"/>
        <w:kinsoku/>
        <w:wordWrap/>
        <w:overflowPunct/>
        <w:topLinePunct w:val="0"/>
        <w:bidi w:val="0"/>
        <w:snapToGrid/>
        <w:spacing w:line="360" w:lineRule="auto"/>
        <w:ind w:left="0" w:leftChars="0" w:right="0" w:rightChars="0" w:firstLine="462" w:firstLineChars="200"/>
        <w:textAlignment w:val="auto"/>
        <w:outlineLvl w:val="9"/>
        <w:rPr>
          <w:rFonts w:hint="eastAsia" w:ascii="仿宋" w:hAnsi="仿宋" w:eastAsia="仿宋"/>
          <w:b/>
          <w:bCs/>
          <w:color w:val="auto"/>
          <w:kern w:val="0"/>
          <w:sz w:val="24"/>
          <w:szCs w:val="24"/>
          <w:highlight w:val="none"/>
        </w:rPr>
      </w:pPr>
      <w:r>
        <w:rPr>
          <w:rFonts w:hint="eastAsia" w:ascii="仿宋" w:hAnsi="仿宋" w:eastAsia="仿宋"/>
          <w:b/>
          <w:bCs/>
          <w:color w:val="auto"/>
          <w:sz w:val="23"/>
          <w:szCs w:val="23"/>
          <w:highlight w:val="none"/>
        </w:rPr>
        <w:t>1.</w:t>
      </w:r>
      <w:r>
        <w:rPr>
          <w:rFonts w:hint="eastAsia" w:ascii="仿宋" w:hAnsi="仿宋" w:eastAsia="仿宋"/>
          <w:b/>
          <w:bCs/>
          <w:color w:val="auto"/>
          <w:sz w:val="23"/>
          <w:szCs w:val="23"/>
          <w:highlight w:val="none"/>
          <w:lang w:val="en-US" w:eastAsia="zh-CN"/>
        </w:rPr>
        <w:t>3</w:t>
      </w:r>
      <w:r>
        <w:rPr>
          <w:rFonts w:hint="eastAsia" w:ascii="仿宋" w:hAnsi="仿宋" w:eastAsia="仿宋"/>
          <w:b/>
          <w:bCs/>
          <w:color w:val="auto"/>
          <w:sz w:val="23"/>
          <w:szCs w:val="23"/>
          <w:highlight w:val="none"/>
        </w:rPr>
        <w:t>报价标包</w:t>
      </w:r>
      <w:r>
        <w:rPr>
          <w:rFonts w:hint="eastAsia" w:ascii="仿宋" w:hAnsi="仿宋" w:eastAsia="仿宋"/>
          <w:b/>
          <w:bCs/>
          <w:color w:val="auto"/>
          <w:kern w:val="0"/>
          <w:sz w:val="24"/>
          <w:szCs w:val="24"/>
          <w:highlight w:val="none"/>
        </w:rPr>
        <w:t>（需提供一个密封包，一正二副）</w:t>
      </w:r>
    </w:p>
    <w:p>
      <w:pPr>
        <w:keepNext w:val="0"/>
        <w:keepLines w:val="0"/>
        <w:pageBreakBefore w:val="0"/>
        <w:widowControl w:val="0"/>
        <w:kinsoku/>
        <w:wordWrap/>
        <w:overflowPunct/>
        <w:topLinePunct w:val="0"/>
        <w:bidi w:val="0"/>
        <w:snapToGrid/>
        <w:spacing w:line="360" w:lineRule="auto"/>
        <w:ind w:left="0" w:leftChars="0" w:right="0" w:rightChars="0" w:firstLine="360" w:firstLineChars="15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（1）封面</w:t>
      </w:r>
    </w:p>
    <w:p>
      <w:pPr>
        <w:keepNext w:val="0"/>
        <w:keepLines w:val="0"/>
        <w:pageBreakBefore w:val="0"/>
        <w:widowControl w:val="0"/>
        <w:kinsoku/>
        <w:wordWrap/>
        <w:overflowPunct/>
        <w:topLinePunct w:val="0"/>
        <w:bidi w:val="0"/>
        <w:snapToGrid/>
        <w:spacing w:line="360" w:lineRule="auto"/>
        <w:ind w:left="0" w:leftChars="0" w:right="0" w:rightChars="0" w:firstLine="360" w:firstLineChars="15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（2）供应商响应文件报价表（第一次磋商报价）</w:t>
      </w:r>
    </w:p>
    <w:p>
      <w:pPr>
        <w:keepNext w:val="0"/>
        <w:keepLines w:val="0"/>
        <w:pageBreakBefore w:val="0"/>
        <w:widowControl w:val="0"/>
        <w:kinsoku/>
        <w:wordWrap/>
        <w:overflowPunct/>
        <w:topLinePunct w:val="0"/>
        <w:bidi w:val="0"/>
        <w:snapToGrid/>
        <w:spacing w:line="360" w:lineRule="auto"/>
        <w:ind w:left="0" w:leftChars="0" w:right="0" w:rightChars="0" w:firstLine="360" w:firstLineChars="15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（3）供应商响应文件报价表（最终）</w:t>
      </w:r>
    </w:p>
    <w:p>
      <w:pPr>
        <w:pStyle w:val="2"/>
        <w:keepNext w:val="0"/>
        <w:keepLines w:val="0"/>
        <w:pageBreakBefore w:val="0"/>
        <w:widowControl w:val="0"/>
        <w:kinsoku/>
        <w:wordWrap/>
        <w:overflowPunct/>
        <w:topLinePunct w:val="0"/>
        <w:bidi w:val="0"/>
        <w:snapToGrid/>
        <w:spacing w:line="360" w:lineRule="auto"/>
        <w:ind w:left="0" w:leftChars="0" w:right="0" w:rightChars="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注明：供应商响应文件报价表（最终），此表投标报价请空着，在开标现场填写，需提前加盖公章。</w:t>
      </w:r>
    </w:p>
    <w:p>
      <w:pPr>
        <w:keepNext w:val="0"/>
        <w:keepLines w:val="0"/>
        <w:pageBreakBefore w:val="0"/>
        <w:widowControl w:val="0"/>
        <w:kinsoku/>
        <w:wordWrap/>
        <w:overflowPunct/>
        <w:topLinePunct w:val="0"/>
        <w:bidi w:val="0"/>
        <w:snapToGrid/>
        <w:spacing w:line="360" w:lineRule="auto"/>
        <w:ind w:left="0" w:leftChars="0"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2、磋商报价</w:t>
      </w:r>
    </w:p>
    <w:p>
      <w:pPr>
        <w:snapToGrid w:val="0"/>
        <w:spacing w:line="420" w:lineRule="exact"/>
        <w:ind w:firstLine="480" w:firstLineChars="200"/>
        <w:rPr>
          <w:rFonts w:hint="eastAsia" w:ascii="仿宋" w:hAnsi="仿宋" w:eastAsia="仿宋"/>
          <w:color w:val="auto"/>
          <w:highlight w:val="none"/>
          <w:lang w:eastAsia="zh-CN"/>
        </w:rPr>
      </w:pPr>
      <w:r>
        <w:rPr>
          <w:rFonts w:ascii="仿宋" w:hAnsi="仿宋" w:eastAsia="仿宋"/>
          <w:color w:val="auto"/>
          <w:sz w:val="24"/>
          <w:szCs w:val="24"/>
          <w:highlight w:val="none"/>
        </w:rPr>
        <w:t>磋商响应报价中的工作量和服务包括响应及完成本项目工作所需的一切费用，包含但不限于如：（1）磋商响应报价中的工作量和服务应包括响应及完成本项目工作所需的一切费用。包含但不限于投标人企业利润、税金和政策性文件规定及合同包含的所有风险、责任，即响应本项目的各项应有费用。（2）本项目涉及安全生产费用应按国家相关规定提取，并考虑在投标报价中。（3）拟派的所有人员安全事故险及员工意外险均包含在本此报价中。</w:t>
      </w:r>
    </w:p>
    <w:p>
      <w:pPr>
        <w:keepNext w:val="0"/>
        <w:keepLines w:val="0"/>
        <w:pageBreakBefore w:val="0"/>
        <w:kinsoku/>
        <w:wordWrap/>
        <w:overflowPunct/>
        <w:topLinePunct w:val="0"/>
        <w:autoSpaceDE/>
        <w:autoSpaceDN/>
        <w:bidi w:val="0"/>
        <w:adjustRightInd/>
        <w:snapToGrid/>
        <w:spacing w:line="360" w:lineRule="auto"/>
        <w:ind w:right="0" w:rightChars="0" w:firstLine="592" w:firstLineChars="247"/>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2.2标的物</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详见项目</w:t>
      </w:r>
      <w:r>
        <w:rPr>
          <w:rFonts w:hint="eastAsia" w:ascii="仿宋" w:hAnsi="仿宋" w:eastAsia="仿宋"/>
          <w:color w:val="auto"/>
          <w:sz w:val="24"/>
          <w:szCs w:val="24"/>
          <w:highlight w:val="none"/>
          <w:lang w:eastAsia="zh-CN"/>
        </w:rPr>
        <w:t>需求</w:t>
      </w:r>
      <w:r>
        <w:rPr>
          <w:rFonts w:hint="eastAsia" w:ascii="仿宋" w:hAnsi="仿宋" w:eastAsia="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2.3有关费用处理</w:t>
      </w:r>
    </w:p>
    <w:p>
      <w:pPr>
        <w:pStyle w:val="28"/>
        <w:keepNext w:val="0"/>
        <w:keepLines w:val="0"/>
        <w:pageBreakBefore w:val="0"/>
        <w:kinsoku/>
        <w:wordWrap/>
        <w:overflowPunct/>
        <w:topLinePunct w:val="0"/>
        <w:autoSpaceDE/>
        <w:autoSpaceDN/>
        <w:bidi w:val="0"/>
        <w:adjustRightInd/>
        <w:snapToGrid/>
        <w:spacing w:line="360" w:lineRule="auto"/>
        <w:ind w:left="420" w:right="0" w:rightChars="0" w:firstLine="0" w:firstLineChars="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本次采购磋商供应商的总报价应包括完成本次招标范围内全部工作内容所需的所有费用。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磋商最终报价应是固定不变的，不得以任何理由予以变更。任何可变的或者附有条件的响应报价，采购人均将予以拒绝。</w:t>
      </w:r>
    </w:p>
    <w:p>
      <w:pPr>
        <w:pStyle w:val="2"/>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2）最低响应报价不能作为本次招标采购的成交保证。</w:t>
      </w:r>
    </w:p>
    <w:p>
      <w:pPr>
        <w:keepNext w:val="0"/>
        <w:keepLines w:val="0"/>
        <w:pageBreakBefore w:val="0"/>
        <w:kinsoku/>
        <w:wordWrap/>
        <w:overflowPunct/>
        <w:topLinePunct w:val="0"/>
        <w:autoSpaceDE/>
        <w:autoSpaceDN/>
        <w:bidi w:val="0"/>
        <w:adjustRightInd/>
        <w:snapToGrid/>
        <w:spacing w:line="360" w:lineRule="auto"/>
        <w:ind w:right="0" w:rightChars="0" w:firstLine="360" w:firstLineChars="15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2.4其它费用处理</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磋商文件未列明，而磋商供应商认为必须的费用也须列入报价。</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2.5报价采用的货币</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响应文件中的单价和总价，无特殊规定的采用人民币报价，以元为单位标注。磋商文件中另有规定的按规定执行。</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2.6 供应商响应文件报价表上的价格应按磋商文件规定填写。</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3、项目工作内容和技术要求响应方案</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3.1提供为完成本项目的总体实施方案。</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3.2对磋商文件中项目工作内容和技术要求的技术与商务条款要求逐项作出应答，并提供依据或说明。</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3.3磋商供应商认为需要的其他技术文件或说明。</w:t>
      </w:r>
    </w:p>
    <w:p>
      <w:pPr>
        <w:keepNext w:val="0"/>
        <w:keepLines w:val="0"/>
        <w:pageBreakBefore w:val="0"/>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三、纸质磋商供应商响应文件的递交</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1、响应文件的密封和标记</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磋商供应商应严格按照磋商文件要求的份数准备响应文件，各标段每份响应文件须清楚地标明“正本”或“副本”字样。磋商供应商应将“资格审查资料包”、“技术标包”、“报价标包”内的所有材料及复印件，须加盖本项目响应单位的公章并装订成册，各一份“正本”，二份“副本”，以便在评审时，供评委检查及提供留存，原件带至开标现场备查。</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1.2密封的响应文件应：</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（1）按采购邀请中注明的地址送达规定地点；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（2）注明参加磋商项目名称、磋商文件编号及参加的分包号；</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（3）密包装上应写明磋商供应商名称。</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1.3如果密封包装未按要求密封和加写标记，代理机构对误投或过早启封概不负责。对由此造成提前开封的响应文件，代理机构将予以拒绝，作无效响应处理。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2、响应文件开启时间</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2.1代理机构收到响应文件的时间不得迟于本磋商文件规定的响应文件接收截止时间。</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3、迟交的响应文件</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3.1代理机构将拒绝在规定的响应文件接收截止时间后接收任何响应文件。</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4、响应文件的修改和撤回</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4.1磋商供应商在递交响应文件后，可以修改或撤回其磋商响应文件，但这种修改和撤回，必须在规定的响应文件接收截止时间前，以书面形式送达指定地点。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4.2磋商供应商的修改或撤回通知书，应按本文件规定进行编制、密封、标记和发送，并应在封套上加注“修改”和“撤回”字样。</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 磋商供应商在提交最后报价之前，可以根据磋商情况退出磋商。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5、磋商响应有效期</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 磋商响应有效期为代理机构规定的响应文件接收截止时间后六十（60）天。磋商响应有效期比规定短的将被视为非实质性响应性而予以拒绝。</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四、磋商与评审</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1、磋商仪式</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1.1代理机构将在采购邀请中规定的时间和地点组织磋商开始仪式，仪式由代理机构主持，磋商供应商应委派携带有效证件的代表准时参加，参加仪式的代表需签名以证明其出席。</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2、磋商小组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 磋商开始仪式结束后，代理机构将立即组织磋商小组进行评审。</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 磋商小组由政府采购评审专家、采购人代表组成，且人员构成符合政府采购有关规定。</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3、磋商评审过程的保密与公正</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3.1磋商小组、采购人和代理机构工作人员、相关监督人员等与评审工作有关的人员，对评审情况以及在评审过程中获悉的国家秘密、商业秘密负有保密责任。</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3.2在磋商评审过程中，磋商供应商不得以任何行为影响磋商评审过程，否则其响应文件将被作为无效响应文件。</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4、评审过程的澄清、说明和更正</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 接到磋商小组澄清要求的供应商如未按规定做出澄清，其风险由供应商自行承担。</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5、对响应文件的初审</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5.1响应文件初审分为资格性检查和符合性检查。</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资格性检查：依据法律法规和磋商文件的规定，对响应文件中的资格证明文件进行审查，以确定供应商是否具备参加磋商的资格。</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符合性检查：依据磋商文件的规定，从响应文件的有效性、完整性和对磋商文件的响应程度进行审查，以确定是否对磋商文件的实质性要求作出响应。</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5.2在正式磋商之前，磋商小组将首先审查每份响应文件是否实质性响应了磋商文件的要求。实质性响应的响应文件应该是与磋商文件要求的条款、条件和规格相符，没有重大偏离或保留。</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5.3 被认定为未实质性响应磋商文件的响应文件的情形</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）未按照磋商文件规定要求密封、签署、盖章的；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）未完整上传供应商响应文件电子文档的,或上传的文件打不开的</w:t>
      </w:r>
      <w:r>
        <w:rPr>
          <w:rFonts w:hint="eastAsia" w:ascii="仿宋" w:hAnsi="仿宋" w:eastAsia="仿宋"/>
          <w:color w:val="auto"/>
          <w:sz w:val="24"/>
          <w:szCs w:val="24"/>
          <w:highlight w:val="none"/>
          <w:lang w:eastAsia="zh-CN"/>
        </w:rPr>
        <w:t>（如有）</w:t>
      </w:r>
      <w:r>
        <w:rPr>
          <w:rFonts w:hint="eastAsia" w:ascii="仿宋" w:hAnsi="仿宋" w:eastAsia="仿宋"/>
          <w:color w:val="auto"/>
          <w:sz w:val="24"/>
          <w:szCs w:val="24"/>
          <w:highlight w:val="none"/>
        </w:rPr>
        <w:t>；</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）供应商不具备磋商文件规定的资格要求的；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）报价超过磋商文件中规定的预算金或最高限价的；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）响应文件含有采购人不能接受的附加条件的；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）不符合法律、法规和磋商文件中规定的其他实质性要求和条件的；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）出现影响采购公正的违法违纪行为的；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）其他法律、法规及本磋商文件规定的属未实质性响应的响应文件的情形。</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5.4 未实质性响应磋商文件的响应文件按无效响应处理，磋商小组将予以拒绝，供应商不得通过修改或撤销不合要求的偏离或保留而使其响应文件成为实质性响应的文件。</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6、磋商程序及评审方法和标准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6.1磋商程序</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6.1.1 对于通过资格性和符合性审查的供应商，磋商小组所有成员将集中与单一供应商分别进行磋商。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6.1.2磋商文件能够详细列明采购标的的技术、服务要求的，磋商结束后，磋商小组将要求所有实质性响应的供应商在规定时间内提交最后报价。</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文件不能详细列明采购标的的技术、服务要求，需经磋商由供应商提供最终解决方案的，磋商结束后，磋商小组将按照少数服从多数的原则投票推荐3家以上供应商的解决方案，并要求其在规定时间内提交最后报价。</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6.1.3 磋商供应商未在磋商小组规定的时间内完成最后报价的视为放弃磋商，其供应商响应文件按无效响应处理。最后报价须由磋商供应商定代表人或授权代表签字或者加盖公章。已提交响应文件的供应商，在提交最后报价之前，可以根据磋商情况退出磋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6.2 评审方法和标准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6.2.1评审方法。经磋商确定最终采购需求和提交最后报价的供应商后，由磋商小组采用综合评分法对提交最后报价的供应商的响应文件和最后报价进行综合评分。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6.2.2评审标准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见本磋商文件第六章规定。</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6.3采购活动终止的情况</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出现下列情形之一的，本次竞争性磋商采购活动将被终止：</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（1）因情况变化，不再符合规定的竞争性磋商采购方式适用情形的；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五、成交</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1、确定成交单位</w:t>
      </w:r>
    </w:p>
    <w:p>
      <w:pPr>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1.1采购人根据磋商小组推荐的成交候选人确定成交供应商。采购人确定成交供应商后，代理机构将在</w:t>
      </w:r>
      <w:r>
        <w:rPr>
          <w:rFonts w:hint="eastAsia" w:ascii="仿宋" w:hAnsi="仿宋" w:eastAsia="仿宋"/>
          <w:color w:val="auto"/>
          <w:sz w:val="24"/>
          <w:szCs w:val="24"/>
          <w:highlight w:val="none"/>
          <w:lang w:eastAsia="zh-CN"/>
        </w:rPr>
        <w:t>南通开发区教育网</w:t>
      </w:r>
      <w:r>
        <w:rPr>
          <w:rFonts w:hint="eastAsia" w:ascii="仿宋" w:hAnsi="仿宋" w:eastAsia="仿宋"/>
          <w:color w:val="auto"/>
          <w:sz w:val="24"/>
          <w:szCs w:val="24"/>
          <w:highlight w:val="none"/>
        </w:rPr>
        <w:t>发布中标公告，公告期限为1个工作日。</w:t>
      </w:r>
    </w:p>
    <w:p>
      <w:pPr>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1.2若有充分证据证明，成交供应商出现下列情况之一的，一经查实，将被取消成交资格：</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（1）提供虚假材料谋取成交的；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（2）与评审专家、采购人、其他供应商或者代理机构工作人员恶意串通的；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（3）向评审专家、采购人或代理机构工作人员行贿或者提供其他不正当利益的；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（4）恶意竞争，最终总报价明显低于其自身合理成本且又无法提供证明的；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（5）不满足本磋商文件规定的实质性要求，但在评审过程中又未被磋商小组发现的；</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（6）成交后无正当理由拒不与采购人签订政府采购合同或者未按照磋商文件确定的事项签订政府采购合同；</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（7）将政府采购合同转包；</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（8）法律、法规、规章规定的属于成交无效的其他情形。</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2、质疑处理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磋商供应商认为磋商文件、采购过程和采购结果使自己的权益受到损害的，可以在知道或应知其权益受到损害之日起七个工作日内，以书面形式向代理机构或采购人提出质疑。上述应知其权益受到损害之日，是指：</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（1）对可以质疑的磋商文件提出质疑的，为收到磋商文件之日或者磋商文件公告期限届满之日；</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（2）对采购过程提出质疑的，为各采购程序环节结束之日；</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（3）对成交结果提出质疑的，为成交结果公告期限届满之日。</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2.2质疑必须由磋商供应商法定代表人或授权代表（响应文件中所确定的）以原件送达的方式提交，未按上述要求提交的质疑函（含传真、电子邮件等）代理机构有权不予受理。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2.3未参加磋商采购活动的供应商或在磋商采购活动中自身权益未受到损害的供应商所提出的质疑不予受理。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2.4质疑函应当包括下列内容：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（1）质疑供应商的名称、地址、邮编、联系人、联系电话；</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（2）具体的质疑事项及明确的请求；</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（3）认为自己合法权益受到损害或可能受到损害的相关证据材料；</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（4）提起质疑的日期；</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2.5代理机构收到质疑函后，将对质疑的形式和内容进行审查，如质疑函内容、格式不符合规定，代理机构将告知质疑人进行补正。</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2.6质疑人应当在法定质疑期限内进行补正并重新提交质疑函，拒不补正或者在法定期限内未重新提交质疑函的，为无效质疑，代理机构有权不予受理。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2.7对于内容、格式符合规定的质疑函，代理机构将在收到参加磋商供应商的书面质疑后七个工作日内作出答复，并以书面形式通知质疑供应商和其他相关供应商，答复的内容不涉及商业秘密。</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2.8供应商提出书面质疑必须有理、有据，不得恶意质疑或提交虚假质疑。否则，一经查实，代理机构有权依据政府采购的有关规定，报请政府采购监管部门对该供应商进行相应的行政处罚。</w:t>
      </w:r>
    </w:p>
    <w:p>
      <w:pPr>
        <w:pageBreakBefore w:val="0"/>
        <w:widowControl w:val="0"/>
        <w:kinsoku/>
        <w:wordWrap/>
        <w:overflowPunct/>
        <w:topLinePunct w:val="0"/>
        <w:autoSpaceDE/>
        <w:autoSpaceDN/>
        <w:bidi w:val="0"/>
        <w:adjustRightInd/>
        <w:snapToGrid/>
        <w:spacing w:line="360" w:lineRule="auto"/>
        <w:ind w:left="0" w:leftChars="0" w:right="0" w:rightChars="0" w:firstLine="462" w:firstLineChars="200"/>
        <w:textAlignment w:val="auto"/>
        <w:rPr>
          <w:rFonts w:hint="eastAsia" w:ascii="仿宋" w:hAnsi="仿宋" w:eastAsia="仿宋"/>
          <w:b/>
          <w:bCs/>
          <w:color w:val="auto"/>
          <w:highlight w:val="none"/>
        </w:rPr>
      </w:pPr>
      <w:r>
        <w:rPr>
          <w:rFonts w:hint="eastAsia" w:ascii="仿宋" w:hAnsi="仿宋" w:eastAsia="仿宋"/>
          <w:b/>
          <w:bCs/>
          <w:color w:val="auto"/>
          <w:sz w:val="23"/>
          <w:szCs w:val="23"/>
          <w:highlight w:val="none"/>
        </w:rPr>
        <w:t>注明：本磋商文件要求所有投标供应商应在法定质疑期内一次性提出针对同一采购程序环节的质疑。</w:t>
      </w:r>
    </w:p>
    <w:p>
      <w:pPr>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六、合同签订相关事项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1、签订合同</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l成交供应商确定后，代理机构将向成交供应商发出成交通知书。成交供应商应按成交通知书规定的时间、地点,按照磋商文件确定的事项与采购人签订政府采购合同，且不得迟于成交通知书发出之日起十五日内，由此给采购人造成损失的，成交供应商还应承担赔偿责任。</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 磋商文件、成交供应商的响应文件及磋商采购过程中有关澄清、承诺文件均应作为合同附件。</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2、履约保证金</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2.1履约保证金为中标价*5%。</w:t>
      </w:r>
      <w:r>
        <w:rPr>
          <w:rFonts w:hint="eastAsia" w:ascii="仿宋" w:hAnsi="仿宋" w:eastAsia="仿宋"/>
          <w:b/>
          <w:bCs/>
          <w:color w:val="auto"/>
          <w:sz w:val="24"/>
          <w:szCs w:val="24"/>
          <w:highlight w:val="none"/>
        </w:rPr>
        <w:t>履约保证金在本项目整个服务周期结束后无息退还。</w:t>
      </w:r>
    </w:p>
    <w:p>
      <w:pPr>
        <w:pStyle w:val="3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七、采购代理服务费</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被确认成交供应商须向采购代理机构支付服务费，</w:t>
      </w:r>
      <w:r>
        <w:rPr>
          <w:rFonts w:hint="eastAsia" w:ascii="仿宋" w:hAnsi="仿宋" w:eastAsia="仿宋"/>
          <w:color w:val="auto"/>
          <w:sz w:val="24"/>
          <w:szCs w:val="24"/>
          <w:highlight w:val="none"/>
          <w:lang w:val="en-US" w:eastAsia="zh-CN"/>
        </w:rPr>
        <w:t>供应商须综合考虑在响应报价内（不得单列）</w:t>
      </w:r>
      <w:r>
        <w:rPr>
          <w:rFonts w:hint="eastAsia" w:ascii="仿宋" w:hAnsi="仿宋" w:eastAsia="仿宋"/>
          <w:color w:val="auto"/>
          <w:sz w:val="24"/>
          <w:szCs w:val="24"/>
          <w:highlight w:val="none"/>
        </w:rPr>
        <w:t>，本项目成交服务费收取人民币收取</w:t>
      </w:r>
      <w:r>
        <w:rPr>
          <w:rFonts w:hint="eastAsia" w:ascii="仿宋" w:hAnsi="仿宋" w:eastAsia="仿宋"/>
          <w:color w:val="auto"/>
          <w:sz w:val="24"/>
          <w:szCs w:val="24"/>
          <w:highlight w:val="none"/>
          <w:lang w:val="en-US" w:eastAsia="zh-CN"/>
        </w:rPr>
        <w:t>50</w:t>
      </w:r>
      <w:r>
        <w:rPr>
          <w:rFonts w:hint="eastAsia" w:ascii="仿宋" w:hAnsi="仿宋" w:eastAsia="仿宋"/>
          <w:color w:val="auto"/>
          <w:sz w:val="24"/>
          <w:szCs w:val="24"/>
          <w:highlight w:val="none"/>
        </w:rPr>
        <w:t>00元</w:t>
      </w:r>
      <w:r>
        <w:rPr>
          <w:rFonts w:hint="eastAsia" w:ascii="仿宋" w:hAnsi="仿宋" w:eastAsia="仿宋"/>
          <w:color w:val="auto"/>
          <w:sz w:val="24"/>
          <w:szCs w:val="24"/>
          <w:highlight w:val="none"/>
          <w:lang w:val="en-US" w:eastAsia="zh-CN"/>
        </w:rPr>
        <w:t>，由成交供应商承担并领取成交通知书前支付给采购代理机构</w:t>
      </w:r>
      <w:r>
        <w:rPr>
          <w:rFonts w:hint="eastAsia" w:ascii="仿宋" w:hAnsi="仿宋" w:eastAsia="仿宋"/>
          <w:color w:val="auto"/>
          <w:sz w:val="24"/>
          <w:szCs w:val="24"/>
          <w:highlight w:val="none"/>
        </w:rPr>
        <w:t>。</w:t>
      </w:r>
    </w:p>
    <w:p>
      <w:pPr>
        <w:spacing w:afterLines="50" w:line="360" w:lineRule="auto"/>
        <w:ind w:firstLine="480" w:firstLineChars="200"/>
        <w:jc w:val="left"/>
        <w:rPr>
          <w:rFonts w:hint="eastAsia" w:ascii="仿宋" w:hAnsi="仿宋" w:eastAsia="仿宋"/>
          <w:color w:val="auto"/>
          <w:sz w:val="24"/>
          <w:szCs w:val="24"/>
          <w:highlight w:val="none"/>
        </w:rPr>
      </w:pPr>
    </w:p>
    <w:p>
      <w:pPr>
        <w:spacing w:line="360" w:lineRule="auto"/>
        <w:ind w:firstLine="48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ind w:firstLine="48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afterLines="50"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autoSpaceDE w:val="0"/>
        <w:autoSpaceDN w:val="0"/>
        <w:snapToGrid w:val="0"/>
        <w:spacing w:line="700" w:lineRule="atLeast"/>
        <w:jc w:val="center"/>
        <w:outlineLvl w:val="0"/>
        <w:rPr>
          <w:rFonts w:hint="eastAsia" w:ascii="仿宋" w:hAnsi="仿宋" w:eastAsia="仿宋"/>
          <w:b/>
          <w:bCs/>
          <w:color w:val="auto"/>
          <w:kern w:val="0"/>
          <w:sz w:val="32"/>
          <w:szCs w:val="32"/>
          <w:highlight w:val="none"/>
        </w:rPr>
      </w:pPr>
      <w:r>
        <w:rPr>
          <w:rFonts w:hint="eastAsia" w:ascii="仿宋" w:hAnsi="仿宋" w:eastAsia="仿宋"/>
          <w:b/>
          <w:bCs/>
          <w:color w:val="auto"/>
          <w:sz w:val="24"/>
          <w:szCs w:val="24"/>
          <w:highlight w:val="none"/>
        </w:rPr>
        <w:br w:type="page"/>
      </w:r>
      <w:r>
        <w:rPr>
          <w:rFonts w:hint="eastAsia" w:ascii="仿宋" w:hAnsi="仿宋" w:eastAsia="仿宋"/>
          <w:b/>
          <w:bCs/>
          <w:color w:val="auto"/>
          <w:kern w:val="0"/>
          <w:sz w:val="32"/>
          <w:szCs w:val="32"/>
          <w:highlight w:val="none"/>
        </w:rPr>
        <w:t>第三章</w:t>
      </w:r>
      <w:r>
        <w:rPr>
          <w:rFonts w:hint="eastAsia" w:ascii="仿宋" w:hAnsi="仿宋" w:eastAsia="仿宋"/>
          <w:b/>
          <w:bCs/>
          <w:color w:val="auto"/>
          <w:kern w:val="0"/>
          <w:sz w:val="32"/>
          <w:szCs w:val="32"/>
          <w:highlight w:val="none"/>
          <w:lang w:val="en-US" w:eastAsia="zh-CN"/>
        </w:rPr>
        <w:t xml:space="preserve"> </w:t>
      </w:r>
      <w:r>
        <w:rPr>
          <w:rFonts w:hint="eastAsia" w:ascii="仿宋" w:hAnsi="仿宋" w:eastAsia="仿宋"/>
          <w:b/>
          <w:bCs/>
          <w:color w:val="auto"/>
          <w:kern w:val="0"/>
          <w:sz w:val="32"/>
          <w:szCs w:val="32"/>
          <w:highlight w:val="none"/>
        </w:rPr>
        <w:t>合同条款及格式</w:t>
      </w:r>
    </w:p>
    <w:p>
      <w:pPr>
        <w:spacing w:before="156" w:beforeLines="50" w:after="156" w:afterLines="50" w:line="360" w:lineRule="auto"/>
        <w:ind w:firstLine="2573" w:firstLineChars="1000"/>
        <w:rPr>
          <w:rFonts w:ascii="仿宋" w:hAnsi="仿宋" w:eastAsia="仿宋"/>
          <w:b/>
          <w:color w:val="auto"/>
          <w:w w:val="80"/>
          <w:sz w:val="32"/>
          <w:szCs w:val="32"/>
          <w:highlight w:val="none"/>
        </w:rPr>
      </w:pPr>
      <w:r>
        <w:rPr>
          <w:rFonts w:ascii="仿宋" w:hAnsi="仿宋" w:eastAsia="仿宋"/>
          <w:b/>
          <w:color w:val="auto"/>
          <w:w w:val="80"/>
          <w:sz w:val="32"/>
          <w:szCs w:val="32"/>
          <w:highlight w:val="none"/>
        </w:rPr>
        <w:t>第一部分  合同授予</w:t>
      </w:r>
    </w:p>
    <w:p>
      <w:pPr>
        <w:spacing w:line="420" w:lineRule="exact"/>
        <w:ind w:firstLine="484" w:firstLineChars="202"/>
        <w:rPr>
          <w:rFonts w:ascii="仿宋" w:hAnsi="仿宋" w:eastAsia="仿宋"/>
          <w:color w:val="auto"/>
          <w:sz w:val="24"/>
          <w:szCs w:val="24"/>
          <w:highlight w:val="none"/>
        </w:rPr>
      </w:pPr>
      <w:r>
        <w:rPr>
          <w:rFonts w:ascii="仿宋" w:hAnsi="仿宋" w:eastAsia="仿宋"/>
          <w:color w:val="auto"/>
          <w:sz w:val="24"/>
          <w:szCs w:val="24"/>
          <w:highlight w:val="none"/>
        </w:rPr>
        <w:t>一、由于项目供货时间紧迫，成交投标单位和采购人在发出《成交通知书》后</w:t>
      </w:r>
      <w:r>
        <w:rPr>
          <w:rFonts w:hint="eastAsia" w:ascii="仿宋" w:hAnsi="仿宋" w:eastAsia="仿宋"/>
          <w:color w:val="auto"/>
          <w:sz w:val="24"/>
          <w:szCs w:val="24"/>
          <w:highlight w:val="none"/>
          <w:lang w:val="en-US" w:eastAsia="zh-CN"/>
        </w:rPr>
        <w:t>15</w:t>
      </w:r>
      <w:r>
        <w:rPr>
          <w:rFonts w:ascii="仿宋" w:hAnsi="仿宋" w:eastAsia="仿宋"/>
          <w:color w:val="auto"/>
          <w:sz w:val="24"/>
          <w:szCs w:val="24"/>
          <w:highlight w:val="none"/>
        </w:rPr>
        <w:t xml:space="preserve">日内必须按照采购文件确定的事项签订政府采购合同。合同一式肆份，采购人、投标单位各贰份。所签合同不得对采购文件作实质性修改。采购人不得向成交投标单位提出不合理的要求作为签订合同的条件，不得与成交投标单位私下订立背离采购文件实质性内容的协议。 </w:t>
      </w:r>
    </w:p>
    <w:p>
      <w:pPr>
        <w:spacing w:line="420" w:lineRule="exact"/>
        <w:ind w:firstLine="484" w:firstLineChars="202"/>
        <w:rPr>
          <w:rFonts w:ascii="仿宋" w:hAnsi="仿宋" w:eastAsia="仿宋"/>
          <w:color w:val="auto"/>
          <w:sz w:val="24"/>
          <w:szCs w:val="24"/>
          <w:highlight w:val="none"/>
        </w:rPr>
      </w:pPr>
      <w:r>
        <w:rPr>
          <w:rFonts w:ascii="仿宋" w:hAnsi="仿宋" w:eastAsia="仿宋"/>
          <w:color w:val="auto"/>
          <w:sz w:val="24"/>
          <w:szCs w:val="24"/>
          <w:highlight w:val="none"/>
        </w:rPr>
        <w:t>二、采购人按合同约定积极配合成交投标单位履约，成交投标单位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pacing w:line="420" w:lineRule="exact"/>
        <w:ind w:firstLine="484" w:firstLineChars="202"/>
        <w:rPr>
          <w:rFonts w:ascii="仿宋" w:hAnsi="仿宋" w:eastAsia="仿宋"/>
          <w:color w:val="auto"/>
          <w:sz w:val="24"/>
          <w:szCs w:val="24"/>
          <w:highlight w:val="none"/>
        </w:rPr>
      </w:pPr>
      <w:r>
        <w:rPr>
          <w:rFonts w:ascii="仿宋" w:hAnsi="仿宋" w:eastAsia="仿宋"/>
          <w:color w:val="auto"/>
          <w:sz w:val="24"/>
          <w:szCs w:val="24"/>
          <w:highlight w:val="none"/>
        </w:rPr>
        <w:t>三、采购人故意推迟项目验收时间的，与成交投标单位串通或要求成交投标单位通过减少货物数量或降低服务标准的，在履行合同中采取更改配置、调换物品等手段的，要求成交投标单位出具虚假发票或任意更改销售发票的，谋取不正当利益的，承担相应的法律责任。</w:t>
      </w:r>
    </w:p>
    <w:p>
      <w:pPr>
        <w:spacing w:line="420" w:lineRule="exact"/>
        <w:ind w:firstLine="484" w:firstLineChars="202"/>
        <w:rPr>
          <w:rFonts w:ascii="仿宋" w:hAnsi="仿宋" w:eastAsia="仿宋"/>
          <w:color w:val="auto"/>
          <w:sz w:val="24"/>
          <w:szCs w:val="24"/>
          <w:highlight w:val="none"/>
        </w:rPr>
      </w:pPr>
      <w:r>
        <w:rPr>
          <w:rFonts w:ascii="仿宋" w:hAnsi="仿宋" w:eastAsia="仿宋"/>
          <w:color w:val="auto"/>
          <w:sz w:val="24"/>
          <w:szCs w:val="24"/>
          <w:highlight w:val="none"/>
        </w:rPr>
        <w:t>四、成交投标单位出现违约情形，应当及时纠正或补偿；造成损失的，按合同约定追究违约责任；发现有假冒、伪劣、走私产品、商业贿赂等违法情形的，应由采购人移交工商、质监、公安等行政执法部门依法查处。</w:t>
      </w:r>
    </w:p>
    <w:p>
      <w:pPr>
        <w:spacing w:line="420" w:lineRule="exact"/>
        <w:ind w:firstLine="484" w:firstLineChars="202"/>
        <w:rPr>
          <w:rFonts w:ascii="仿宋" w:hAnsi="仿宋" w:eastAsia="仿宋"/>
          <w:color w:val="auto"/>
          <w:sz w:val="24"/>
          <w:szCs w:val="24"/>
          <w:highlight w:val="none"/>
        </w:rPr>
      </w:pPr>
      <w:r>
        <w:rPr>
          <w:rFonts w:ascii="仿宋" w:hAnsi="仿宋" w:eastAsia="仿宋"/>
          <w:color w:val="auto"/>
          <w:sz w:val="24"/>
          <w:szCs w:val="24"/>
          <w:highlight w:val="none"/>
        </w:rPr>
        <w:t>五、按政府采购合同约定支付的货款，实行采购人按规定直接支付。</w:t>
      </w:r>
    </w:p>
    <w:p>
      <w:pPr>
        <w:spacing w:line="420" w:lineRule="exact"/>
        <w:ind w:firstLine="484" w:firstLineChars="202"/>
        <w:rPr>
          <w:rFonts w:ascii="仿宋" w:hAnsi="仿宋" w:eastAsia="仿宋"/>
          <w:color w:val="auto"/>
          <w:sz w:val="24"/>
          <w:szCs w:val="24"/>
          <w:highlight w:val="none"/>
        </w:rPr>
      </w:pPr>
      <w:r>
        <w:rPr>
          <w:rFonts w:ascii="仿宋" w:hAnsi="仿宋" w:eastAsia="仿宋"/>
          <w:color w:val="auto"/>
          <w:sz w:val="24"/>
          <w:szCs w:val="24"/>
          <w:highlight w:val="none"/>
        </w:rPr>
        <w:t>六、不响应付款方式的，视同响应文件无效，按无效响应文件处理。</w:t>
      </w:r>
    </w:p>
    <w:p>
      <w:pPr>
        <w:tabs>
          <w:tab w:val="left" w:pos="1050"/>
          <w:tab w:val="right" w:leader="dot" w:pos="9402"/>
        </w:tabs>
        <w:spacing w:before="312" w:beforeLines="100" w:line="600" w:lineRule="exact"/>
        <w:jc w:val="center"/>
        <w:outlineLvl w:val="0"/>
        <w:rPr>
          <w:rFonts w:ascii="仿宋" w:hAnsi="仿宋" w:eastAsia="仿宋"/>
          <w:b/>
          <w:color w:val="auto"/>
          <w:w w:val="80"/>
          <w:sz w:val="32"/>
          <w:szCs w:val="32"/>
          <w:highlight w:val="none"/>
        </w:rPr>
      </w:pPr>
      <w:r>
        <w:rPr>
          <w:rFonts w:ascii="仿宋" w:hAnsi="仿宋" w:eastAsia="仿宋"/>
          <w:b/>
          <w:color w:val="auto"/>
          <w:w w:val="80"/>
          <w:sz w:val="32"/>
          <w:szCs w:val="32"/>
          <w:highlight w:val="none"/>
        </w:rPr>
        <w:t>第二部分 履约验收及付款</w:t>
      </w:r>
    </w:p>
    <w:p>
      <w:pPr>
        <w:spacing w:line="420" w:lineRule="exact"/>
        <w:ind w:firstLine="484" w:firstLineChars="202"/>
        <w:rPr>
          <w:rFonts w:ascii="仿宋" w:hAnsi="仿宋" w:eastAsia="仿宋"/>
          <w:color w:val="auto"/>
          <w:kern w:val="0"/>
          <w:sz w:val="24"/>
          <w:szCs w:val="24"/>
          <w:highlight w:val="none"/>
        </w:rPr>
      </w:pPr>
      <w:r>
        <w:rPr>
          <w:rFonts w:ascii="仿宋" w:hAnsi="仿宋" w:eastAsia="仿宋"/>
          <w:color w:val="auto"/>
          <w:kern w:val="0"/>
          <w:sz w:val="24"/>
          <w:szCs w:val="24"/>
          <w:highlight w:val="none"/>
        </w:rPr>
        <w:t>一、采购人和中标人应相互配合，按采购合同约定积极组织本项目的实施，确保按时履约提供服务。</w:t>
      </w:r>
    </w:p>
    <w:p>
      <w:pPr>
        <w:spacing w:line="420" w:lineRule="exact"/>
        <w:ind w:firstLine="484" w:firstLineChars="202"/>
        <w:rPr>
          <w:rFonts w:ascii="仿宋" w:hAnsi="仿宋" w:eastAsia="仿宋"/>
          <w:color w:val="auto"/>
          <w:kern w:val="0"/>
          <w:sz w:val="24"/>
          <w:szCs w:val="24"/>
          <w:highlight w:val="none"/>
        </w:rPr>
      </w:pPr>
      <w:r>
        <w:rPr>
          <w:rFonts w:ascii="仿宋" w:hAnsi="仿宋" w:eastAsia="仿宋"/>
          <w:color w:val="auto"/>
          <w:kern w:val="0"/>
          <w:sz w:val="24"/>
          <w:szCs w:val="24"/>
          <w:highlight w:val="none"/>
        </w:rPr>
        <w:t>二、履约完成后，中标人应以书面形式向采购人提出验收申请，采购人接到申请后应及时组织验收。</w:t>
      </w:r>
    </w:p>
    <w:p>
      <w:pPr>
        <w:spacing w:line="420" w:lineRule="exact"/>
        <w:ind w:firstLine="484" w:firstLineChars="202"/>
        <w:rPr>
          <w:rFonts w:ascii="仿宋" w:hAnsi="仿宋" w:eastAsia="仿宋"/>
          <w:color w:val="auto"/>
          <w:kern w:val="0"/>
          <w:sz w:val="24"/>
          <w:szCs w:val="24"/>
          <w:highlight w:val="none"/>
        </w:rPr>
      </w:pPr>
      <w:r>
        <w:rPr>
          <w:rFonts w:ascii="仿宋" w:hAnsi="仿宋" w:eastAsia="仿宋"/>
          <w:color w:val="auto"/>
          <w:kern w:val="0"/>
          <w:sz w:val="24"/>
          <w:szCs w:val="24"/>
          <w:highlight w:val="none"/>
        </w:rPr>
        <w:t>三、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p>
      <w:pPr>
        <w:spacing w:line="420" w:lineRule="exact"/>
        <w:ind w:firstLine="484" w:firstLineChars="202"/>
        <w:rPr>
          <w:rFonts w:ascii="仿宋" w:hAnsi="仿宋" w:eastAsia="仿宋"/>
          <w:color w:val="auto"/>
          <w:kern w:val="0"/>
          <w:sz w:val="24"/>
          <w:szCs w:val="24"/>
          <w:highlight w:val="none"/>
        </w:rPr>
      </w:pPr>
      <w:r>
        <w:rPr>
          <w:rFonts w:ascii="仿宋" w:hAnsi="仿宋" w:eastAsia="仿宋"/>
          <w:color w:val="auto"/>
          <w:kern w:val="0"/>
          <w:sz w:val="24"/>
          <w:szCs w:val="24"/>
          <w:highlight w:val="none"/>
        </w:rPr>
        <w:t>四、按采购合同约定的支付方式，及时支付服务款项。</w:t>
      </w:r>
    </w:p>
    <w:p>
      <w:pPr>
        <w:keepNext/>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仿宋" w:hAnsi="仿宋" w:eastAsia="仿宋"/>
          <w:b/>
          <w:bCs/>
          <w:color w:val="auto"/>
          <w:sz w:val="44"/>
          <w:szCs w:val="44"/>
          <w:highlight w:val="none"/>
        </w:rPr>
      </w:pPr>
      <w:r>
        <w:rPr>
          <w:rFonts w:ascii="仿宋" w:hAnsi="仿宋" w:eastAsia="仿宋"/>
          <w:b/>
          <w:color w:val="auto"/>
          <w:sz w:val="32"/>
          <w:szCs w:val="32"/>
          <w:highlight w:val="none"/>
        </w:rPr>
        <w:br w:type="page"/>
      </w:r>
    </w:p>
    <w:p>
      <w:pPr>
        <w:keepNext/>
        <w:spacing w:line="360" w:lineRule="auto"/>
        <w:ind w:left="0" w:leftChars="0" w:firstLine="0" w:firstLineChars="0"/>
        <w:jc w:val="center"/>
        <w:outlineLvl w:val="0"/>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第四章 项目需求</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1、熟悉并能严格遵守《中华人民共和国食品安全法》，教育部、卫生部《学校食堂与学生集体用餐卫生管理条例》、《江苏省学校卫生防疫与食品卫生安全行政责任追究办法》、《学校食品安全与营养健康管理》等法律法规政策。</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2、经营者及其所聘人员必须遵守《南通高等师范学校附属小学食堂管理办法》等学校管理制度，遵守校纪校规，服从学校的统一管理，维护学校荣誉，有为师生服务的意识，自觉接受学校相关职能部门和广大师生对环境卫生、食品安全、服务态度、饭菜质量等方面进行监督检查和考核，并对提出的问题和意见认真落实，及时整改，在特定的情况下，需按学校的要求开展各项服务，检查或考核，校级检查一次不合格扣罚100元，区级扣罚500元，市级及以上扣罚1000元；出现第一次安全事故扣除承包合同总金额的1%，出现第二次安全事故扣除承包合同总金额的5%，出现第三次取消其承包合同；在用工、品种、质量、数量、经营范围、文明服务、卫生、安全、劳动纪律等方面，须接受政府行政主管部门及学校的监督检查、指导和管理。牢固树立安全卫生意识，负责落实本食堂及学校分管范围内的食品安全、消防安全、人身安全、防投毒、防盗安全等工作。不出售不洁、过期、变质食品，杜绝食物中毒事故发生。</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3、有符合学校实际的经营思想，经营方法。根据各级岗位需要合理配备相关从业人员（厨师、帮厨、保洁等），并提供人员卫生健康证书等，需接纳食堂原有符合条件的员工。</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4、经营单位每学期集中组织1-2次食堂（保洁）从业人员岗位培训，规范操作流程，确保卫生安全和质量</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食堂从业人员每日正常提供师生餐饮服务、食堂及周边卫生服务，保洁从业人员正常开展学校教学楼、实验楼、行政楼、艺术楼、体育馆、操场、学校各广场、地下车库等区域的日常保洁工作</w:t>
      </w:r>
      <w:r>
        <w:rPr>
          <w:rFonts w:ascii="仿宋" w:hAnsi="仿宋" w:eastAsia="仿宋"/>
          <w:color w:val="auto"/>
          <w:sz w:val="24"/>
          <w:szCs w:val="24"/>
          <w:highlight w:val="none"/>
        </w:rPr>
        <w:t>。</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5、经营单位对本食堂（保洁）的工作人员进行全面管理，对学校负责，教育和督促全体人员，树立良好的工作作风和服务态度。工作人员仪态端庄，身体健康；所有工作人员必须持本人有效身份证明（身份证或户口所在地派出所出具的身份证明），填写用工表，报保卫、后勤等管理部门备案。</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6、经营单位应积极采用先进管理方法，按照学校统一安排，积极推进保持五常精细化管理，</w:t>
      </w:r>
      <w:r>
        <w:rPr>
          <w:rFonts w:hint="eastAsia" w:ascii="仿宋" w:hAnsi="仿宋" w:eastAsia="仿宋"/>
          <w:color w:val="auto"/>
          <w:sz w:val="24"/>
          <w:szCs w:val="24"/>
          <w:highlight w:val="none"/>
          <w:lang w:val="en-US" w:eastAsia="zh-CN"/>
        </w:rPr>
        <w:t>确保</w:t>
      </w:r>
      <w:r>
        <w:rPr>
          <w:rFonts w:hint="eastAsia" w:ascii="仿宋" w:hAnsi="仿宋" w:eastAsia="仿宋"/>
          <w:color w:val="auto"/>
          <w:sz w:val="24"/>
          <w:szCs w:val="24"/>
          <w:highlight w:val="none"/>
          <w:lang w:val="en-US" w:eastAsia="zh-CN"/>
        </w:rPr>
        <w:t>师生</w:t>
      </w:r>
      <w:r>
        <w:rPr>
          <w:rFonts w:hint="eastAsia" w:ascii="仿宋" w:hAnsi="仿宋" w:eastAsia="仿宋"/>
          <w:color w:val="auto"/>
          <w:sz w:val="24"/>
          <w:szCs w:val="24"/>
          <w:highlight w:val="none"/>
          <w:lang w:val="en-US" w:eastAsia="zh-CN"/>
        </w:rPr>
        <w:t>正常上学期间按时按点供应早餐和午餐</w:t>
      </w:r>
      <w:r>
        <w:rPr>
          <w:rFonts w:hint="eastAsia" w:ascii="仿宋" w:hAnsi="仿宋" w:eastAsia="仿宋"/>
          <w:color w:val="auto"/>
          <w:sz w:val="24"/>
          <w:szCs w:val="24"/>
          <w:highlight w:val="none"/>
          <w:lang w:val="en-US" w:eastAsia="zh-CN"/>
        </w:rPr>
        <w:t>（一般三菜一汤+水果或点心）</w:t>
      </w:r>
      <w:r>
        <w:rPr>
          <w:rFonts w:hint="eastAsia" w:ascii="仿宋" w:hAnsi="仿宋" w:eastAsia="仿宋"/>
          <w:color w:val="auto"/>
          <w:sz w:val="24"/>
          <w:szCs w:val="24"/>
          <w:highlight w:val="none"/>
          <w:lang w:val="en-US" w:eastAsia="zh-CN"/>
        </w:rPr>
        <w:t>，</w:t>
      </w:r>
      <w:r>
        <w:rPr>
          <w:rFonts w:ascii="仿宋" w:hAnsi="仿宋" w:eastAsia="仿宋"/>
          <w:color w:val="auto"/>
          <w:sz w:val="24"/>
          <w:szCs w:val="24"/>
          <w:highlight w:val="none"/>
        </w:rPr>
        <w:t>并接受学校和主管部门的检查和验收。</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7、经营单位需给全体工作人员配备统一服装（工作衣、帽、围裙、袖套、手套、口罩）以及劳保用品，统一挂牌上岗。</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8、食堂（保洁）有固定设施设备由经营单位使用，经营单位要爱护厨具设备及公共设施，确保设施设备完好，造成设施设备损坏的造价赔偿。</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9、经营单位须加强食堂设备设施安全管理，不得违规操作。如由此发生安全事故，经营单位须承担全部处理及善后责任。造成影响的，甲方有权立即终止合同，由此造成的任何损失全部由经营单位承担。</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10、食堂的餐厨垃圾、废弃油脂，由学校指定专业回收部门收取。</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11、不得转租、转包，不得转让或变相转让他人经营。</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12、经营单位须购买安全事故险及员工意外险等保险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所用员工意外伤害保险（保险额度每人不少于100万元）</w:t>
      </w:r>
      <w:r>
        <w:rPr>
          <w:rFonts w:ascii="仿宋" w:hAnsi="仿宋" w:eastAsia="仿宋"/>
          <w:color w:val="auto"/>
          <w:sz w:val="24"/>
          <w:szCs w:val="24"/>
          <w:highlight w:val="none"/>
        </w:rPr>
        <w:t>。</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13、经营单位使用的员工需有养老保险。</w:t>
      </w:r>
    </w:p>
    <w:p>
      <w:pPr>
        <w:spacing w:line="420" w:lineRule="exact"/>
        <w:ind w:firstLine="480" w:firstLineChars="200"/>
        <w:outlineLvl w:val="1"/>
        <w:rPr>
          <w:rFonts w:hint="default" w:ascii="仿宋" w:hAnsi="仿宋" w:eastAsia="仿宋"/>
          <w:color w:val="auto"/>
          <w:sz w:val="24"/>
          <w:szCs w:val="24"/>
          <w:highlight w:val="none"/>
          <w:lang w:val="en-US" w:eastAsia="zh-CN"/>
        </w:rPr>
      </w:pPr>
      <w:r>
        <w:rPr>
          <w:rFonts w:ascii="仿宋" w:hAnsi="仿宋" w:eastAsia="仿宋"/>
          <w:color w:val="auto"/>
          <w:sz w:val="24"/>
          <w:szCs w:val="24"/>
          <w:highlight w:val="none"/>
        </w:rPr>
        <w:t>14、用工情况：食堂使用员工人数与师生就餐人数比是1比125，经测算学校</w:t>
      </w:r>
      <w:r>
        <w:rPr>
          <w:rFonts w:hint="eastAsia" w:ascii="仿宋" w:hAnsi="仿宋" w:eastAsia="仿宋"/>
          <w:color w:val="auto"/>
          <w:sz w:val="24"/>
          <w:szCs w:val="24"/>
          <w:highlight w:val="none"/>
          <w:lang w:eastAsia="zh-CN"/>
        </w:rPr>
        <w:t>2021</w:t>
      </w:r>
      <w:r>
        <w:rPr>
          <w:rFonts w:ascii="仿宋" w:hAnsi="仿宋" w:eastAsia="仿宋"/>
          <w:color w:val="auto"/>
          <w:sz w:val="24"/>
          <w:szCs w:val="24"/>
          <w:highlight w:val="none"/>
        </w:rPr>
        <w:t>-202</w:t>
      </w:r>
      <w:r>
        <w:rPr>
          <w:rFonts w:hint="eastAsia" w:ascii="仿宋" w:hAnsi="仿宋" w:eastAsia="仿宋"/>
          <w:color w:val="auto"/>
          <w:sz w:val="24"/>
          <w:szCs w:val="24"/>
          <w:highlight w:val="none"/>
          <w:lang w:val="en-US" w:eastAsia="zh-CN"/>
        </w:rPr>
        <w:t>2</w:t>
      </w:r>
      <w:r>
        <w:rPr>
          <w:rFonts w:ascii="仿宋" w:hAnsi="仿宋" w:eastAsia="仿宋"/>
          <w:color w:val="auto"/>
          <w:sz w:val="24"/>
          <w:szCs w:val="24"/>
          <w:highlight w:val="none"/>
        </w:rPr>
        <w:t>学年度需配备厨师4个，帮厨23个，持证会计1人</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其中50周岁（含）以下员工不少于20人</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rPr>
        <w:t>，厨师工资每年（12个月）不低于</w:t>
      </w:r>
      <w:r>
        <w:rPr>
          <w:rFonts w:hint="eastAsia" w:ascii="仿宋" w:hAnsi="仿宋" w:eastAsia="仿宋"/>
          <w:color w:val="auto"/>
          <w:sz w:val="24"/>
          <w:szCs w:val="24"/>
          <w:highlight w:val="none"/>
          <w:lang w:val="en-US" w:eastAsia="zh-CN"/>
        </w:rPr>
        <w:t>42000</w:t>
      </w:r>
      <w:r>
        <w:rPr>
          <w:rFonts w:ascii="仿宋" w:hAnsi="仿宋" w:eastAsia="仿宋"/>
          <w:color w:val="auto"/>
          <w:sz w:val="24"/>
          <w:szCs w:val="24"/>
          <w:highlight w:val="none"/>
        </w:rPr>
        <w:t>元，其它员工工资每年（12个月）不低于2</w:t>
      </w:r>
      <w:r>
        <w:rPr>
          <w:rFonts w:hint="eastAsia" w:ascii="仿宋" w:hAnsi="仿宋" w:eastAsia="仿宋"/>
          <w:color w:val="auto"/>
          <w:sz w:val="24"/>
          <w:szCs w:val="24"/>
          <w:highlight w:val="none"/>
          <w:lang w:val="en-US" w:eastAsia="zh-CN"/>
        </w:rPr>
        <w:t>7360</w:t>
      </w:r>
      <w:r>
        <w:rPr>
          <w:rFonts w:ascii="仿宋" w:hAnsi="仿宋" w:eastAsia="仿宋"/>
          <w:color w:val="auto"/>
          <w:sz w:val="24"/>
          <w:szCs w:val="24"/>
          <w:highlight w:val="none"/>
        </w:rPr>
        <w:t>元；学校保洁7个，保洁工资每年（12个月）不低于</w:t>
      </w:r>
      <w:r>
        <w:rPr>
          <w:rFonts w:hint="eastAsia" w:ascii="仿宋" w:hAnsi="仿宋" w:eastAsia="仿宋"/>
          <w:color w:val="auto"/>
          <w:sz w:val="24"/>
          <w:szCs w:val="24"/>
          <w:highlight w:val="none"/>
          <w:lang w:val="en-US" w:eastAsia="zh-CN"/>
        </w:rPr>
        <w:t>27360</w:t>
      </w:r>
      <w:r>
        <w:rPr>
          <w:rFonts w:ascii="仿宋" w:hAnsi="仿宋" w:eastAsia="仿宋"/>
          <w:color w:val="auto"/>
          <w:sz w:val="24"/>
          <w:szCs w:val="24"/>
          <w:highlight w:val="none"/>
        </w:rPr>
        <w:t>元</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确保及时发放所用员工一年三节福利待遇（春节、中秋、端午，每节不少于300元）</w:t>
      </w:r>
      <w:r>
        <w:rPr>
          <w:rFonts w:hint="eastAsia" w:ascii="仿宋" w:hAnsi="仿宋" w:eastAsia="仿宋"/>
          <w:color w:val="auto"/>
          <w:sz w:val="24"/>
          <w:szCs w:val="24"/>
          <w:highlight w:val="none"/>
          <w:lang w:val="en-US" w:eastAsia="zh-CN"/>
        </w:rPr>
        <w:t>。</w:t>
      </w:r>
    </w:p>
    <w:p>
      <w:pPr>
        <w:spacing w:line="420" w:lineRule="exact"/>
        <w:ind w:firstLine="480" w:firstLineChars="200"/>
        <w:outlineLvl w:val="1"/>
        <w:rPr>
          <w:rFonts w:ascii="仿宋" w:hAnsi="仿宋" w:eastAsia="仿宋"/>
          <w:color w:val="auto"/>
          <w:sz w:val="24"/>
          <w:szCs w:val="24"/>
          <w:highlight w:val="none"/>
        </w:rPr>
      </w:pPr>
      <w:r>
        <w:rPr>
          <w:rFonts w:ascii="仿宋" w:hAnsi="仿宋" w:eastAsia="仿宋"/>
          <w:color w:val="auto"/>
          <w:sz w:val="24"/>
          <w:szCs w:val="24"/>
          <w:highlight w:val="none"/>
        </w:rPr>
        <w:t>15、除非因特殊原因并经买卖双方协商同意，成交的供应商(以下称中标人)不得再要求追加任何费用。同时，除非合同条款中另有规定，否则，中标人的成交价在合同实施期间不因市场变化因素而变动。</w:t>
      </w:r>
    </w:p>
    <w:p>
      <w:pPr>
        <w:pStyle w:val="2"/>
        <w:keepNext w:val="0"/>
        <w:keepLines w:val="0"/>
        <w:pageBreakBefore w:val="0"/>
        <w:widowControl w:val="0"/>
        <w:kinsoku/>
        <w:wordWrap/>
        <w:overflowPunct/>
        <w:topLinePunct w:val="0"/>
        <w:autoSpaceDE/>
        <w:autoSpaceDN/>
        <w:bidi w:val="0"/>
        <w:snapToGrid/>
        <w:spacing w:beforeAutospacing="0" w:line="360" w:lineRule="auto"/>
        <w:ind w:left="0" w:leftChars="0" w:right="0" w:rightChars="0"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16、</w:t>
      </w:r>
      <w:r>
        <w:rPr>
          <w:rFonts w:hint="eastAsia" w:ascii="仿宋" w:hAnsi="仿宋" w:eastAsia="仿宋" w:cs="Times New Roman"/>
          <w:color w:val="auto"/>
          <w:kern w:val="2"/>
          <w:sz w:val="24"/>
          <w:szCs w:val="24"/>
          <w:highlight w:val="none"/>
          <w:lang w:val="en-US" w:eastAsia="zh-CN" w:bidi="ar-SA"/>
        </w:rPr>
        <w:t>付款方式：</w:t>
      </w:r>
      <w:r>
        <w:rPr>
          <w:rFonts w:hint="eastAsia" w:ascii="仿宋" w:hAnsi="仿宋" w:eastAsia="仿宋" w:cs="仿宋"/>
          <w:bCs/>
          <w:color w:val="auto"/>
          <w:sz w:val="24"/>
          <w:szCs w:val="24"/>
          <w:highlight w:val="none"/>
        </w:rPr>
        <w:t>本项目合同签订后付合同价的10%</w:t>
      </w:r>
      <w:r>
        <w:rPr>
          <w:rFonts w:hint="eastAsia" w:ascii="仿宋" w:hAnsi="仿宋" w:eastAsia="仿宋" w:cs="仿宋"/>
          <w:bCs/>
          <w:color w:val="auto"/>
          <w:sz w:val="24"/>
          <w:szCs w:val="24"/>
          <w:highlight w:val="none"/>
          <w:lang w:eastAsia="zh-CN"/>
        </w:rPr>
        <w:t>，</w:t>
      </w:r>
      <w:r>
        <w:rPr>
          <w:rFonts w:hint="eastAsia" w:ascii="仿宋" w:hAnsi="仿宋" w:eastAsia="仿宋" w:cs="Times New Roman"/>
          <w:color w:val="auto"/>
          <w:kern w:val="2"/>
          <w:sz w:val="24"/>
          <w:szCs w:val="24"/>
          <w:highlight w:val="none"/>
          <w:lang w:val="en-US" w:eastAsia="zh-CN" w:bidi="ar-SA"/>
        </w:rPr>
        <w:t>每月学校将进行服务满意度测评，经学校测评合格，</w:t>
      </w:r>
      <w:r>
        <w:rPr>
          <w:rFonts w:hint="eastAsia" w:ascii="仿宋" w:hAnsi="仿宋" w:eastAsia="仿宋" w:cs="仿宋"/>
          <w:bCs/>
          <w:color w:val="auto"/>
          <w:sz w:val="24"/>
          <w:szCs w:val="24"/>
          <w:highlight w:val="none"/>
        </w:rPr>
        <w:t>次月起，每月上旬支付服务费用，每月支付金额=年度总服务费用的90%/12</w:t>
      </w:r>
      <w:r>
        <w:rPr>
          <w:rFonts w:hint="eastAsia" w:ascii="仿宋" w:hAnsi="仿宋" w:eastAsia="仿宋" w:cs="仿宋"/>
          <w:bCs/>
          <w:color w:val="auto"/>
          <w:sz w:val="24"/>
          <w:szCs w:val="24"/>
          <w:highlight w:val="none"/>
          <w:lang w:eastAsia="zh-CN"/>
        </w:rPr>
        <w:t>，</w:t>
      </w:r>
      <w:r>
        <w:rPr>
          <w:rFonts w:hint="eastAsia" w:ascii="仿宋" w:hAnsi="仿宋" w:eastAsia="仿宋" w:cs="Times New Roman"/>
          <w:color w:val="auto"/>
          <w:kern w:val="2"/>
          <w:sz w:val="24"/>
          <w:szCs w:val="24"/>
          <w:highlight w:val="none"/>
          <w:lang w:val="en-US" w:eastAsia="zh-CN" w:bidi="ar-SA"/>
        </w:rPr>
        <w:t>次月中标供应商出具正规增值税普通发票，交于学校履行报销付款手续。</w:t>
      </w:r>
    </w:p>
    <w:p>
      <w:pPr>
        <w:snapToGrid w:val="0"/>
        <w:spacing w:line="42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注明：</w:t>
      </w:r>
      <w:r>
        <w:rPr>
          <w:rFonts w:ascii="仿宋" w:hAnsi="仿宋" w:eastAsia="仿宋"/>
          <w:color w:val="auto"/>
          <w:sz w:val="24"/>
          <w:szCs w:val="24"/>
          <w:highlight w:val="none"/>
        </w:rPr>
        <w:t>（1）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pPr>
        <w:snapToGrid w:val="0"/>
        <w:spacing w:line="42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(2)采购人向供应商提供有关现场的资料和数据，是采购人现有的并认为能使供应商可利用的资料。采购人对供应商由此而做出的推论、理解和结论概不负责。</w:t>
      </w:r>
    </w:p>
    <w:p>
      <w:pPr>
        <w:snapToGrid w:val="0"/>
        <w:spacing w:line="42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(3)潜在供应商为响应项目而勘察现场，但不得因此使采购人承担有关的责任和蒙受损失。供应商须承担勘察现场而带来的一切责任及风险。</w:t>
      </w:r>
    </w:p>
    <w:p>
      <w:pPr>
        <w:snapToGrid w:val="0"/>
        <w:spacing w:line="42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供应商应在现场勘察时，熟悉现场及周围交通道路等情况，以获得一切可能影响磋商响应内容的直接资料。供应商成交后，不得以不完全了解现场情况为理由而向采购人提出任何索赔的要求，对此采购人不承担任何责任，并且将不作任何答复。</w:t>
      </w:r>
    </w:p>
    <w:p>
      <w:pPr>
        <w:snapToGrid w:val="0"/>
        <w:spacing w:line="42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现场勘察联系人：周老师，联系电话：18068999019。</w:t>
      </w:r>
    </w:p>
    <w:p>
      <w:pPr>
        <w:widowControl/>
        <w:ind w:left="0" w:leftChars="0" w:firstLine="0" w:firstLineChars="0"/>
        <w:jc w:val="center"/>
        <w:outlineLvl w:val="0"/>
        <w:rPr>
          <w:rFonts w:hint="eastAsia" w:ascii="仿宋" w:hAnsi="仿宋" w:eastAsia="仿宋"/>
          <w:b/>
          <w:bCs/>
          <w:color w:val="auto"/>
          <w:sz w:val="32"/>
          <w:szCs w:val="32"/>
          <w:highlight w:val="none"/>
        </w:rPr>
      </w:pPr>
      <w:r>
        <w:rPr>
          <w:rFonts w:ascii="仿宋" w:hAnsi="仿宋" w:eastAsia="仿宋" w:cs="黑体"/>
          <w:color w:val="auto"/>
          <w:sz w:val="23"/>
          <w:szCs w:val="22"/>
          <w:highlight w:val="none"/>
        </w:rPr>
        <w:br w:type="page"/>
      </w:r>
      <w:r>
        <w:rPr>
          <w:rFonts w:hint="eastAsia" w:ascii="仿宋" w:hAnsi="仿宋" w:eastAsia="仿宋"/>
          <w:b/>
          <w:bCs/>
          <w:color w:val="auto"/>
          <w:sz w:val="32"/>
          <w:szCs w:val="32"/>
          <w:highlight w:val="none"/>
        </w:rPr>
        <w:t>第五章</w:t>
      </w:r>
      <w:r>
        <w:rPr>
          <w:rFonts w:hint="eastAsia" w:ascii="仿宋" w:hAnsi="仿宋" w:eastAsia="仿宋"/>
          <w:b/>
          <w:bCs/>
          <w:color w:val="auto"/>
          <w:sz w:val="32"/>
          <w:szCs w:val="32"/>
          <w:highlight w:val="none"/>
          <w:lang w:val="en-US" w:eastAsia="zh-CN"/>
        </w:rPr>
        <w:t xml:space="preserve"> </w:t>
      </w:r>
      <w:r>
        <w:rPr>
          <w:rFonts w:hint="eastAsia" w:ascii="仿宋" w:hAnsi="仿宋" w:eastAsia="仿宋"/>
          <w:b/>
          <w:bCs/>
          <w:color w:val="auto"/>
          <w:sz w:val="32"/>
          <w:szCs w:val="32"/>
          <w:highlight w:val="none"/>
        </w:rPr>
        <w:t>资格审查</w:t>
      </w:r>
    </w:p>
    <w:tbl>
      <w:tblPr>
        <w:tblStyle w:val="13"/>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4"/>
        <w:gridCol w:w="2835"/>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bookmarkStart w:id="0" w:name="OLE_LINK9"/>
            <w:r>
              <w:rPr>
                <w:rFonts w:hint="eastAsia" w:ascii="仿宋" w:hAnsi="仿宋" w:eastAsia="仿宋"/>
                <w:b/>
                <w:bCs/>
                <w:color w:val="auto"/>
                <w:sz w:val="24"/>
                <w:szCs w:val="24"/>
                <w:highlight w:val="none"/>
              </w:rPr>
              <w:t>条款号</w:t>
            </w:r>
            <w:bookmarkEnd w:id="0"/>
          </w:p>
        </w:tc>
        <w:tc>
          <w:tcPr>
            <w:tcW w:w="283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评审因素</w:t>
            </w:r>
          </w:p>
        </w:tc>
        <w:tc>
          <w:tcPr>
            <w:tcW w:w="538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1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2.1.1</w:t>
            </w:r>
          </w:p>
        </w:tc>
        <w:tc>
          <w:tcPr>
            <w:tcW w:w="1134" w:type="dxa"/>
            <w:vMerge w:val="restart"/>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形式评审标准</w:t>
            </w:r>
          </w:p>
        </w:tc>
        <w:tc>
          <w:tcPr>
            <w:tcW w:w="2835" w:type="dxa"/>
            <w:tcBorders>
              <w:top w:val="single" w:color="auto" w:sz="4" w:space="0"/>
              <w:left w:val="nil"/>
              <w:bottom w:val="single" w:color="auto" w:sz="4" w:space="0"/>
              <w:right w:val="single" w:color="auto" w:sz="4" w:space="0"/>
            </w:tcBorders>
            <w:vAlign w:val="center"/>
          </w:tcPr>
          <w:p>
            <w:pPr>
              <w:spacing w:line="360" w:lineRule="auto"/>
              <w:ind w:firstLine="12" w:firstLineChars="5"/>
              <w:rPr>
                <w:rFonts w:ascii="仿宋" w:hAnsi="仿宋" w:eastAsia="仿宋"/>
                <w:color w:val="auto"/>
                <w:sz w:val="24"/>
                <w:szCs w:val="24"/>
                <w:highlight w:val="none"/>
              </w:rPr>
            </w:pPr>
            <w:r>
              <w:rPr>
                <w:rFonts w:hint="eastAsia" w:ascii="仿宋" w:hAnsi="仿宋" w:eastAsia="仿宋"/>
                <w:color w:val="auto"/>
                <w:sz w:val="24"/>
                <w:szCs w:val="24"/>
                <w:highlight w:val="none"/>
              </w:rPr>
              <w:t>磋商供应商名称</w:t>
            </w:r>
          </w:p>
        </w:tc>
        <w:tc>
          <w:tcPr>
            <w:tcW w:w="5388"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磋商供应商名称与营业执照不一致的，提供有效证明材料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ind w:firstLine="12" w:firstLineChars="5"/>
              <w:rPr>
                <w:rFonts w:ascii="仿宋" w:hAnsi="仿宋" w:eastAsia="仿宋"/>
                <w:color w:val="auto"/>
                <w:sz w:val="24"/>
                <w:szCs w:val="24"/>
                <w:highlight w:val="none"/>
              </w:rPr>
            </w:pPr>
            <w:r>
              <w:rPr>
                <w:rFonts w:hint="eastAsia" w:ascii="仿宋" w:hAnsi="仿宋" w:eastAsia="仿宋"/>
                <w:color w:val="auto"/>
                <w:sz w:val="24"/>
                <w:szCs w:val="24"/>
                <w:highlight w:val="none"/>
              </w:rPr>
              <w:t>磋商文件签字盖章</w:t>
            </w:r>
          </w:p>
        </w:tc>
        <w:tc>
          <w:tcPr>
            <w:tcW w:w="5388"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加盖磋商供应商公章和企业法定代表人（或企业法定代表人委托代理人）印章（或签字）。委托代理人有合法、有效的委托书（原件）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资格审查文件格式</w:t>
            </w:r>
          </w:p>
        </w:tc>
        <w:tc>
          <w:tcPr>
            <w:tcW w:w="53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符合磋商文件要求并附有所有相应表格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2.1.2</w:t>
            </w:r>
          </w:p>
        </w:tc>
        <w:tc>
          <w:tcPr>
            <w:tcW w:w="1134" w:type="dxa"/>
            <w:vMerge w:val="restart"/>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资格评审标准</w:t>
            </w: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法定代表人身份证明书、授权委托书</w:t>
            </w:r>
          </w:p>
        </w:tc>
        <w:tc>
          <w:tcPr>
            <w:tcW w:w="5388" w:type="dxa"/>
            <w:tcBorders>
              <w:top w:val="single" w:color="auto" w:sz="4" w:space="0"/>
              <w:left w:val="nil"/>
              <w:bottom w:val="single" w:color="auto" w:sz="4" w:space="0"/>
              <w:right w:val="single" w:color="auto" w:sz="4" w:space="0"/>
            </w:tcBorders>
          </w:tcPr>
          <w:p>
            <w:pPr>
              <w:widowControl/>
              <w:shd w:val="clear" w:color="auto" w:fill="FFFFFF"/>
              <w:spacing w:line="360" w:lineRule="auto"/>
              <w:rPr>
                <w:rFonts w:ascii="仿宋" w:hAnsi="仿宋" w:eastAsia="仿宋"/>
                <w:color w:val="auto"/>
                <w:sz w:val="24"/>
                <w:szCs w:val="24"/>
                <w:highlight w:val="none"/>
              </w:rPr>
            </w:pPr>
            <w:r>
              <w:rPr>
                <w:rFonts w:hint="eastAsia" w:ascii="仿宋" w:hAnsi="仿宋" w:eastAsia="仿宋"/>
                <w:color w:val="auto"/>
                <w:kern w:val="0"/>
                <w:sz w:val="24"/>
                <w:szCs w:val="24"/>
                <w:highlight w:val="none"/>
              </w:rPr>
              <w:t>法定代表人参加投标的，必须提供法人身份证明原件及本人身份证原件；非法定代表人参加的，必须提供法定代表人签名或盖章的授权委托书原件及被委托授权人身份证原件；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营业执照</w:t>
            </w:r>
            <w:r>
              <w:rPr>
                <w:rFonts w:hint="eastAsia" w:ascii="仿宋" w:hAnsi="仿宋" w:eastAsia="仿宋"/>
                <w:color w:val="auto"/>
                <w:sz w:val="24"/>
                <w:szCs w:val="24"/>
                <w:highlight w:val="none"/>
                <w:lang w:eastAsia="zh-CN"/>
              </w:rPr>
              <w:t>或事业单位法人证书</w:t>
            </w:r>
          </w:p>
        </w:tc>
        <w:tc>
          <w:tcPr>
            <w:tcW w:w="5388"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磋商供应商有效的营业执照</w:t>
            </w:r>
            <w:r>
              <w:rPr>
                <w:rFonts w:hint="eastAsia" w:ascii="仿宋" w:hAnsi="仿宋" w:eastAsia="仿宋"/>
                <w:color w:val="auto"/>
                <w:sz w:val="24"/>
                <w:szCs w:val="24"/>
                <w:highlight w:val="none"/>
                <w:lang w:eastAsia="zh-CN"/>
              </w:rPr>
              <w:t>或事业单位法人证书</w:t>
            </w:r>
            <w:r>
              <w:rPr>
                <w:rFonts w:hint="eastAsia" w:ascii="仿宋" w:hAnsi="仿宋" w:eastAsia="仿宋"/>
                <w:color w:val="auto"/>
                <w:sz w:val="24"/>
                <w:szCs w:val="24"/>
                <w:highlight w:val="none"/>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供应商响应文件函</w:t>
            </w:r>
          </w:p>
        </w:tc>
        <w:tc>
          <w:tcPr>
            <w:tcW w:w="5388"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供应商响应文件函（按磋商文件第七章后附格式）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具有良好的商业信誉和健全的财务会计制度</w:t>
            </w:r>
          </w:p>
        </w:tc>
        <w:tc>
          <w:tcPr>
            <w:tcW w:w="5388"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具有良好的商业信誉和健全的财务会计制度【提供上一年度的财务状况报告（成立不满一年不需提供）】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具有履行合同所必需的设备和专业技术能力</w:t>
            </w:r>
          </w:p>
        </w:tc>
        <w:tc>
          <w:tcPr>
            <w:tcW w:w="5388"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具有履行合同所必需的设备和专业技术能力（提供承诺函，按第七章后附格式）；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有依法缴纳税收和社会保障资金的良好记录</w:t>
            </w:r>
          </w:p>
        </w:tc>
        <w:tc>
          <w:tcPr>
            <w:tcW w:w="5388"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有依法缴纳税收和社会保障资金的良好记录（提供最近的依法缴纳税收和社会保障资金的相关材料）；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3年内在经营活动中没有重大违法记录</w:t>
            </w:r>
          </w:p>
        </w:tc>
        <w:tc>
          <w:tcPr>
            <w:tcW w:w="5388"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提供参加本项目政府采购活动前3年内在经营活动中没有重大违法记录的书面声明（按第七章后附格式）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auto"/>
                <w:sz w:val="24"/>
                <w:szCs w:val="24"/>
                <w:highlight w:val="none"/>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磋商供应商未列入失信被执行人或重大税收违法案件当事人名单或政府采购严重失信行为记录名单的证明材料</w:t>
            </w:r>
          </w:p>
        </w:tc>
        <w:tc>
          <w:tcPr>
            <w:tcW w:w="5388" w:type="dxa"/>
            <w:tcBorders>
              <w:top w:val="single" w:color="auto" w:sz="4" w:space="0"/>
              <w:left w:val="nil"/>
              <w:bottom w:val="single" w:color="auto" w:sz="4" w:space="0"/>
              <w:right w:val="single" w:color="auto" w:sz="4" w:space="0"/>
            </w:tcBorders>
            <w:vAlign w:val="center"/>
          </w:tcPr>
          <w:p>
            <w:pPr>
              <w:pStyle w:val="6"/>
              <w:spacing w:line="320" w:lineRule="exact"/>
              <w:rPr>
                <w:rFonts w:ascii="仿宋" w:hAnsi="仿宋" w:eastAsia="仿宋"/>
                <w:color w:val="auto"/>
                <w:sz w:val="24"/>
                <w:szCs w:val="24"/>
                <w:highlight w:val="none"/>
              </w:rPr>
            </w:pPr>
            <w:r>
              <w:rPr>
                <w:rFonts w:hint="eastAsia" w:ascii="仿宋" w:hAnsi="仿宋" w:eastAsia="仿宋" w:cs="宋体"/>
                <w:color w:val="auto"/>
                <w:kern w:val="0"/>
                <w:sz w:val="24"/>
                <w:szCs w:val="24"/>
                <w:highlight w:val="none"/>
              </w:rPr>
              <w:t>响应供应商未被“信用中国”网站（www.creditchina.gov.cn）、中国政府采购网（www.ccgp.gov.cn）列入失信被执行人、重大税收违法案件当事人名单、政府采购严重失信行为记录名单；为确保政府采购守法供应商公平参加政府采购活动，采购代理机构将在开标开始后一个小时内，通过信用中国网站和中国政府采购网对供应商信用信息进行查询查证，并将查询记录截屏打印保存在采购档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17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sz w:val="24"/>
                <w:szCs w:val="24"/>
                <w:highlight w:val="none"/>
              </w:rPr>
            </w:pPr>
            <w:bookmarkStart w:id="1" w:name="_Hlk14941930"/>
            <w:r>
              <w:rPr>
                <w:rFonts w:hint="eastAsia" w:ascii="仿宋" w:hAnsi="仿宋" w:eastAsia="仿宋"/>
                <w:color w:val="auto"/>
                <w:sz w:val="24"/>
                <w:szCs w:val="24"/>
                <w:highlight w:val="none"/>
              </w:rPr>
              <w:t>上述条款号2.1.2资格评审标准的纸质递交资料需提供复印件并加盖单位公章，同时提供原件查验；以上资格评审标准评审标等相关内容未携带原件或因携带原件不全的，由此引起的后果由供应商自负。</w:t>
            </w:r>
            <w:bookmarkEnd w:id="1"/>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注：通过形式评审和资格审查的投标单位可进入以下评审(资格审查不合格的投标单位不得进入本项目技术标和报价标的综合评审阶段)。</w:t>
            </w:r>
          </w:p>
        </w:tc>
      </w:tr>
    </w:tbl>
    <w:p>
      <w:pPr>
        <w:pStyle w:val="25"/>
        <w:ind w:firstLine="236" w:firstLineChars="98"/>
        <w:rPr>
          <w:rFonts w:hint="eastAsia" w:ascii="仿宋" w:hAnsi="仿宋" w:eastAsia="仿宋"/>
          <w:b/>
          <w:bCs/>
          <w:color w:val="auto"/>
          <w:highlight w:val="none"/>
        </w:rPr>
      </w:pPr>
      <w:r>
        <w:rPr>
          <w:rFonts w:hint="eastAsia" w:ascii="仿宋" w:hAnsi="仿宋" w:eastAsia="仿宋"/>
          <w:b/>
          <w:bCs/>
          <w:color w:val="auto"/>
          <w:highlight w:val="none"/>
        </w:rPr>
        <w:t xml:space="preserve"> </w:t>
      </w:r>
    </w:p>
    <w:p>
      <w:pPr>
        <w:pStyle w:val="25"/>
        <w:spacing w:line="360" w:lineRule="auto"/>
        <w:ind w:left="0" w:leftChars="0" w:firstLine="0" w:firstLineChars="0"/>
        <w:rPr>
          <w:rFonts w:hint="eastAsia" w:ascii="仿宋" w:hAnsi="仿宋" w:eastAsia="仿宋"/>
          <w:b/>
          <w:bCs/>
          <w:color w:val="auto"/>
          <w:highlight w:val="none"/>
        </w:rPr>
      </w:pPr>
      <w:r>
        <w:rPr>
          <w:rFonts w:hint="eastAsia" w:ascii="仿宋" w:hAnsi="仿宋" w:eastAsia="仿宋"/>
          <w:b/>
          <w:bCs/>
          <w:color w:val="auto"/>
          <w:highlight w:val="none"/>
        </w:rPr>
        <w:t>【特别提醒】未携带要求的原件或因携带原件不齐全而引起的后果，由响应磋商的供应商自负。</w:t>
      </w:r>
    </w:p>
    <w:p>
      <w:pPr>
        <w:pStyle w:val="25"/>
        <w:ind w:firstLine="235" w:firstLineChars="98"/>
        <w:rPr>
          <w:rFonts w:hint="eastAsia" w:ascii="仿宋" w:hAnsi="仿宋" w:eastAsia="仿宋"/>
          <w:color w:val="auto"/>
          <w:highlight w:val="none"/>
        </w:rPr>
      </w:pPr>
      <w:r>
        <w:rPr>
          <w:rFonts w:hint="eastAsia" w:ascii="仿宋" w:hAnsi="仿宋" w:eastAsia="仿宋"/>
          <w:color w:val="auto"/>
          <w:highlight w:val="none"/>
        </w:rPr>
        <w:t xml:space="preserve"> </w:t>
      </w:r>
    </w:p>
    <w:p>
      <w:pPr>
        <w:spacing w:line="360" w:lineRule="auto"/>
        <w:jc w:val="center"/>
        <w:outlineLvl w:val="0"/>
        <w:rPr>
          <w:rFonts w:hint="eastAsia" w:ascii="仿宋" w:hAnsi="仿宋" w:eastAsia="仿宋"/>
          <w:b/>
          <w:bCs/>
          <w:color w:val="auto"/>
          <w:sz w:val="32"/>
          <w:szCs w:val="32"/>
          <w:highlight w:val="none"/>
        </w:rPr>
      </w:pPr>
      <w:r>
        <w:rPr>
          <w:rFonts w:hint="eastAsia" w:ascii="仿宋" w:hAnsi="仿宋" w:eastAsia="仿宋"/>
          <w:color w:val="auto"/>
          <w:sz w:val="24"/>
          <w:szCs w:val="24"/>
          <w:highlight w:val="none"/>
        </w:rPr>
        <w:br w:type="page"/>
      </w:r>
      <w:r>
        <w:rPr>
          <w:rFonts w:hint="eastAsia" w:ascii="仿宋" w:hAnsi="仿宋" w:eastAsia="仿宋"/>
          <w:b/>
          <w:bCs/>
          <w:color w:val="auto"/>
          <w:sz w:val="32"/>
          <w:szCs w:val="32"/>
          <w:highlight w:val="none"/>
        </w:rPr>
        <w:t>第六章</w:t>
      </w:r>
      <w:r>
        <w:rPr>
          <w:rFonts w:hint="eastAsia" w:ascii="仿宋" w:hAnsi="仿宋" w:eastAsia="仿宋"/>
          <w:b/>
          <w:bCs/>
          <w:color w:val="auto"/>
          <w:sz w:val="32"/>
          <w:szCs w:val="32"/>
          <w:highlight w:val="none"/>
          <w:lang w:val="en-US" w:eastAsia="zh-CN"/>
        </w:rPr>
        <w:t xml:space="preserve"> </w:t>
      </w:r>
      <w:r>
        <w:rPr>
          <w:rFonts w:hint="eastAsia" w:ascii="仿宋" w:hAnsi="仿宋" w:eastAsia="仿宋"/>
          <w:b/>
          <w:bCs/>
          <w:color w:val="auto"/>
          <w:sz w:val="32"/>
          <w:szCs w:val="32"/>
          <w:highlight w:val="none"/>
        </w:rPr>
        <w:t>磋商办法（综合评分法）</w:t>
      </w:r>
    </w:p>
    <w:p>
      <w:pPr>
        <w:keepNext w:val="0"/>
        <w:keepLines w:val="0"/>
        <w:pageBreakBefore w:val="0"/>
        <w:kinsoku/>
        <w:wordWrap/>
        <w:overflowPunct/>
        <w:topLinePunct w:val="0"/>
        <w:bidi w:val="0"/>
        <w:snapToGrid/>
        <w:spacing w:line="360" w:lineRule="auto"/>
        <w:ind w:left="0" w:leftChars="0" w:right="0" w:rightChars="0"/>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一、本项目开标顺序为：</w:t>
      </w:r>
    </w:p>
    <w:p>
      <w:pPr>
        <w:pStyle w:val="25"/>
        <w:keepNext w:val="0"/>
        <w:keepLines w:val="0"/>
        <w:pageBreakBefore w:val="0"/>
        <w:kinsoku/>
        <w:wordWrap/>
        <w:overflowPunct/>
        <w:topLinePunct w:val="0"/>
        <w:bidi w:val="0"/>
        <w:snapToGrid/>
        <w:spacing w:line="360" w:lineRule="auto"/>
        <w:ind w:left="0" w:leftChars="0" w:right="0" w:rightChars="0" w:firstLine="482" w:firstLineChars="200"/>
        <w:textAlignment w:val="auto"/>
        <w:outlineLvl w:val="9"/>
        <w:rPr>
          <w:rFonts w:hint="eastAsia" w:ascii="仿宋" w:hAnsi="仿宋" w:eastAsia="仿宋"/>
          <w:b/>
          <w:bCs/>
          <w:color w:val="auto"/>
          <w:kern w:val="2"/>
          <w:sz w:val="24"/>
          <w:szCs w:val="24"/>
          <w:highlight w:val="none"/>
        </w:rPr>
      </w:pPr>
      <w:r>
        <w:rPr>
          <w:rFonts w:hint="eastAsia" w:ascii="仿宋" w:hAnsi="仿宋" w:eastAsia="仿宋"/>
          <w:b/>
          <w:bCs/>
          <w:color w:val="auto"/>
          <w:sz w:val="24"/>
          <w:szCs w:val="24"/>
          <w:highlight w:val="none"/>
        </w:rPr>
        <w:t>评标流程：资格审查评审—商务技术标评审—报价标评审-确定中标候选人</w:t>
      </w:r>
    </w:p>
    <w:p>
      <w:pPr>
        <w:keepNext w:val="0"/>
        <w:keepLines w:val="0"/>
        <w:pageBreakBefore w:val="0"/>
        <w:widowControl/>
        <w:kinsoku/>
        <w:wordWrap/>
        <w:overflowPunct/>
        <w:topLinePunct w:val="0"/>
        <w:bidi w:val="0"/>
        <w:snapToGrid/>
        <w:spacing w:line="360" w:lineRule="auto"/>
        <w:ind w:left="0" w:leftChars="0" w:right="0" w:rightChars="0"/>
        <w:jc w:val="left"/>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二、本项目磋商小组成员共3人：</w:t>
      </w:r>
    </w:p>
    <w:p>
      <w:pPr>
        <w:keepNext w:val="0"/>
        <w:keepLines w:val="0"/>
        <w:pageBreakBefore w:val="0"/>
        <w:widowControl/>
        <w:kinsoku/>
        <w:wordWrap/>
        <w:overflowPunct/>
        <w:topLinePunct w:val="0"/>
        <w:bidi w:val="0"/>
        <w:snapToGrid/>
        <w:spacing w:line="360" w:lineRule="auto"/>
        <w:ind w:left="0" w:leftChars="0" w:right="0" w:rightChars="0" w:firstLine="482" w:firstLineChars="200"/>
        <w:jc w:val="left"/>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本项目磋商小组成员共3位，</w:t>
      </w:r>
      <w:r>
        <w:rPr>
          <w:rFonts w:hint="eastAsia" w:ascii="仿宋" w:hAnsi="仿宋" w:eastAsia="仿宋"/>
          <w:b/>
          <w:bCs/>
          <w:color w:val="auto"/>
          <w:sz w:val="24"/>
          <w:szCs w:val="24"/>
          <w:highlight w:val="none"/>
          <w:lang w:val="en-US" w:eastAsia="zh-CN"/>
        </w:rPr>
        <w:t>按政府采购规定的抽取</w:t>
      </w:r>
      <w:r>
        <w:rPr>
          <w:rFonts w:hint="eastAsia" w:ascii="仿宋" w:hAnsi="仿宋" w:eastAsia="仿宋"/>
          <w:b/>
          <w:bCs/>
          <w:color w:val="auto"/>
          <w:sz w:val="24"/>
          <w:szCs w:val="24"/>
          <w:highlight w:val="none"/>
        </w:rPr>
        <w:t>；</w:t>
      </w:r>
    </w:p>
    <w:p>
      <w:pPr>
        <w:keepNext w:val="0"/>
        <w:keepLines w:val="0"/>
        <w:pageBreakBefore w:val="0"/>
        <w:kinsoku/>
        <w:wordWrap/>
        <w:overflowPunct/>
        <w:topLinePunct w:val="0"/>
        <w:bidi w:val="0"/>
        <w:snapToGrid/>
        <w:spacing w:line="360" w:lineRule="auto"/>
        <w:ind w:left="0" w:leftChars="0" w:right="0" w:rightChars="0"/>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三、磋商委员会认为投标人的报价明显低于其他投标人的报价，有可能影响服务质量或者不能诚信履约的，应当要求其在评标现场在规定时限之内提供书面说明，必要时提交相关证明材料；投标人不能证明其投标合理性的，磋商委员会应当将其作为无效投标处理。</w:t>
      </w:r>
    </w:p>
    <w:p>
      <w:pPr>
        <w:pStyle w:val="2"/>
        <w:keepNext w:val="0"/>
        <w:keepLines w:val="0"/>
        <w:pageBreakBefore w:val="0"/>
        <w:kinsoku/>
        <w:wordWrap/>
        <w:overflowPunct/>
        <w:topLinePunct w:val="0"/>
        <w:bidi w:val="0"/>
        <w:snapToGrid/>
        <w:spacing w:line="360" w:lineRule="auto"/>
        <w:ind w:left="0" w:leftChars="0" w:right="0" w:rightChars="0"/>
        <w:textAlignment w:val="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四、评标办法：本次评标采用综合评分法，具体评分办法如下：</w:t>
      </w:r>
    </w:p>
    <w:p>
      <w:pPr>
        <w:pStyle w:val="4"/>
        <w:ind w:left="0" w:leftChars="0" w:firstLine="0" w:firstLineChars="0"/>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磋商办法前附表</w:t>
      </w:r>
    </w:p>
    <w:tbl>
      <w:tblPr>
        <w:tblStyle w:val="13"/>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91"/>
        <w:gridCol w:w="461"/>
        <w:gridCol w:w="1784"/>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tLeas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2.1.3</w:t>
            </w:r>
          </w:p>
          <w:p>
            <w:pPr>
              <w:spacing w:line="360" w:lineRule="atLeast"/>
              <w:jc w:val="center"/>
              <w:rPr>
                <w:rFonts w:hint="eastAsia" w:ascii="仿宋" w:hAnsi="仿宋" w:eastAsia="仿宋" w:cs="仿宋"/>
                <w:color w:val="auto"/>
                <w:highlight w:val="none"/>
              </w:rPr>
            </w:pPr>
          </w:p>
        </w:tc>
        <w:tc>
          <w:tcPr>
            <w:tcW w:w="1191" w:type="dxa"/>
            <w:vMerge w:val="restart"/>
            <w:tcBorders>
              <w:top w:val="single" w:color="auto" w:sz="4" w:space="0"/>
              <w:left w:val="nil"/>
              <w:bottom w:val="single" w:color="auto" w:sz="4" w:space="0"/>
              <w:right w:val="single" w:color="auto" w:sz="4" w:space="0"/>
            </w:tcBorders>
            <w:vAlign w:val="center"/>
          </w:tcPr>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响应性评审标准</w:t>
            </w:r>
          </w:p>
          <w:p>
            <w:pPr>
              <w:spacing w:line="360" w:lineRule="atLeast"/>
              <w:jc w:val="center"/>
              <w:rPr>
                <w:rFonts w:hint="eastAsia" w:ascii="仿宋" w:hAnsi="仿宋" w:eastAsia="仿宋" w:cs="仿宋"/>
                <w:color w:val="auto"/>
                <w:highlight w:val="none"/>
              </w:rPr>
            </w:pPr>
          </w:p>
        </w:tc>
        <w:tc>
          <w:tcPr>
            <w:tcW w:w="2245" w:type="dxa"/>
            <w:gridSpan w:val="2"/>
            <w:tcBorders>
              <w:top w:val="single" w:color="auto" w:sz="4" w:space="0"/>
              <w:left w:val="nil"/>
              <w:bottom w:val="single" w:color="auto" w:sz="4" w:space="0"/>
              <w:right w:val="single" w:color="auto" w:sz="4" w:space="0"/>
            </w:tcBorders>
            <w:vAlign w:val="center"/>
          </w:tcPr>
          <w:p>
            <w:pPr>
              <w:spacing w:line="360" w:lineRule="atLeast"/>
              <w:ind w:firstLine="10" w:firstLineChars="5"/>
              <w:rPr>
                <w:rFonts w:hint="eastAsia" w:ascii="仿宋" w:hAnsi="仿宋" w:eastAsia="仿宋" w:cs="仿宋"/>
                <w:color w:val="auto"/>
                <w:highlight w:val="none"/>
              </w:rPr>
            </w:pPr>
          </w:p>
        </w:tc>
        <w:tc>
          <w:tcPr>
            <w:tcW w:w="4827" w:type="dxa"/>
            <w:tcBorders>
              <w:top w:val="single" w:color="auto" w:sz="4" w:space="0"/>
              <w:left w:val="nil"/>
              <w:bottom w:val="single" w:color="auto" w:sz="4" w:space="0"/>
              <w:right w:val="single" w:color="auto" w:sz="4" w:space="0"/>
            </w:tcBorders>
            <w:vAlign w:val="center"/>
          </w:tcPr>
          <w:p>
            <w:pPr>
              <w:spacing w:line="360" w:lineRule="atLeast"/>
              <w:rPr>
                <w:rFonts w:hint="eastAsia" w:ascii="仿宋" w:hAnsi="仿宋" w:eastAsia="仿宋" w:cs="仿宋"/>
                <w:color w:val="auto"/>
                <w:highlight w:val="none"/>
              </w:rPr>
            </w:pPr>
            <w:r>
              <w:rPr>
                <w:rFonts w:hint="eastAsia" w:ascii="仿宋" w:hAnsi="仿宋" w:eastAsia="仿宋" w:cs="仿宋"/>
                <w:color w:val="auto"/>
                <w:highlight w:val="none"/>
              </w:rPr>
              <w:t>符合第二章“磋商供应商须知”第1.3.1项规定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highlight w:val="none"/>
              </w:rPr>
            </w:pPr>
          </w:p>
        </w:tc>
        <w:tc>
          <w:tcPr>
            <w:tcW w:w="1191"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highlight w:val="none"/>
              </w:rPr>
            </w:pPr>
          </w:p>
        </w:tc>
        <w:tc>
          <w:tcPr>
            <w:tcW w:w="2245" w:type="dxa"/>
            <w:gridSpan w:val="2"/>
            <w:tcBorders>
              <w:top w:val="single" w:color="auto" w:sz="4" w:space="0"/>
              <w:left w:val="nil"/>
              <w:bottom w:val="single" w:color="auto" w:sz="4" w:space="0"/>
              <w:right w:val="single" w:color="auto" w:sz="4" w:space="0"/>
            </w:tcBorders>
            <w:vAlign w:val="center"/>
          </w:tcPr>
          <w:p>
            <w:pPr>
              <w:spacing w:line="360" w:lineRule="atLeast"/>
              <w:ind w:firstLine="10" w:firstLineChars="5"/>
              <w:rPr>
                <w:rFonts w:hint="eastAsia" w:ascii="仿宋" w:hAnsi="仿宋" w:eastAsia="仿宋" w:cs="仿宋"/>
                <w:color w:val="auto"/>
                <w:highlight w:val="none"/>
              </w:rPr>
            </w:pPr>
            <w:r>
              <w:rPr>
                <w:rFonts w:hint="eastAsia" w:ascii="仿宋" w:hAnsi="仿宋" w:eastAsia="仿宋" w:cs="仿宋"/>
                <w:color w:val="auto"/>
                <w:highlight w:val="none"/>
              </w:rPr>
              <w:t>服务期</w:t>
            </w:r>
          </w:p>
        </w:tc>
        <w:tc>
          <w:tcPr>
            <w:tcW w:w="4827" w:type="dxa"/>
            <w:tcBorders>
              <w:top w:val="single" w:color="auto" w:sz="4" w:space="0"/>
              <w:left w:val="nil"/>
              <w:bottom w:val="single" w:color="auto" w:sz="4" w:space="0"/>
              <w:right w:val="single" w:color="auto" w:sz="4" w:space="0"/>
            </w:tcBorders>
            <w:vAlign w:val="center"/>
          </w:tcPr>
          <w:p>
            <w:pPr>
              <w:spacing w:line="360" w:lineRule="atLeast"/>
              <w:rPr>
                <w:rFonts w:hint="eastAsia" w:ascii="仿宋" w:hAnsi="仿宋" w:eastAsia="仿宋" w:cs="仿宋"/>
                <w:color w:val="auto"/>
                <w:highlight w:val="none"/>
              </w:rPr>
            </w:pPr>
            <w:r>
              <w:rPr>
                <w:rFonts w:hint="eastAsia" w:ascii="仿宋" w:hAnsi="仿宋" w:eastAsia="仿宋" w:cs="仿宋"/>
                <w:color w:val="auto"/>
                <w:highlight w:val="none"/>
              </w:rPr>
              <w:t>符合第二章“磋商供应商须知”第1.3.2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highlight w:val="none"/>
              </w:rPr>
            </w:pPr>
          </w:p>
        </w:tc>
        <w:tc>
          <w:tcPr>
            <w:tcW w:w="1191"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highlight w:val="none"/>
              </w:rPr>
            </w:pPr>
          </w:p>
        </w:tc>
        <w:tc>
          <w:tcPr>
            <w:tcW w:w="2245" w:type="dxa"/>
            <w:gridSpan w:val="2"/>
            <w:tcBorders>
              <w:top w:val="single" w:color="auto" w:sz="4" w:space="0"/>
              <w:left w:val="nil"/>
              <w:bottom w:val="single" w:color="auto" w:sz="4" w:space="0"/>
              <w:right w:val="single" w:color="auto" w:sz="4" w:space="0"/>
            </w:tcBorders>
            <w:vAlign w:val="center"/>
          </w:tcPr>
          <w:p>
            <w:pPr>
              <w:spacing w:line="360" w:lineRule="atLeast"/>
              <w:ind w:firstLine="10" w:firstLineChars="5"/>
              <w:rPr>
                <w:rFonts w:hint="eastAsia" w:ascii="仿宋" w:hAnsi="仿宋" w:eastAsia="仿宋" w:cs="仿宋"/>
                <w:color w:val="auto"/>
                <w:highlight w:val="none"/>
              </w:rPr>
            </w:pPr>
            <w:r>
              <w:rPr>
                <w:rFonts w:hint="eastAsia" w:ascii="仿宋" w:hAnsi="仿宋" w:eastAsia="仿宋" w:cs="仿宋"/>
                <w:color w:val="auto"/>
                <w:highlight w:val="none"/>
              </w:rPr>
              <w:t>质量要求</w:t>
            </w:r>
          </w:p>
        </w:tc>
        <w:tc>
          <w:tcPr>
            <w:tcW w:w="4827" w:type="dxa"/>
            <w:tcBorders>
              <w:top w:val="single" w:color="auto" w:sz="4" w:space="0"/>
              <w:left w:val="nil"/>
              <w:bottom w:val="single" w:color="auto" w:sz="4" w:space="0"/>
              <w:right w:val="single" w:color="auto" w:sz="4" w:space="0"/>
            </w:tcBorders>
            <w:vAlign w:val="center"/>
          </w:tcPr>
          <w:p>
            <w:pPr>
              <w:spacing w:line="360" w:lineRule="atLeast"/>
              <w:rPr>
                <w:rFonts w:hint="eastAsia" w:ascii="仿宋" w:hAnsi="仿宋" w:eastAsia="仿宋" w:cs="仿宋"/>
                <w:color w:val="auto"/>
                <w:highlight w:val="none"/>
              </w:rPr>
            </w:pPr>
            <w:r>
              <w:rPr>
                <w:rFonts w:hint="eastAsia" w:ascii="仿宋" w:hAnsi="仿宋" w:eastAsia="仿宋" w:cs="仿宋"/>
                <w:color w:val="auto"/>
                <w:highlight w:val="none"/>
              </w:rPr>
              <w:t>符合第二章“磋商供应商须知”第1.3.4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highlight w:val="none"/>
              </w:rPr>
            </w:pPr>
          </w:p>
        </w:tc>
        <w:tc>
          <w:tcPr>
            <w:tcW w:w="1191"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highlight w:val="none"/>
              </w:rPr>
            </w:pPr>
          </w:p>
        </w:tc>
        <w:tc>
          <w:tcPr>
            <w:tcW w:w="2245" w:type="dxa"/>
            <w:gridSpan w:val="2"/>
            <w:tcBorders>
              <w:top w:val="single" w:color="auto" w:sz="4" w:space="0"/>
              <w:left w:val="nil"/>
              <w:bottom w:val="single" w:color="auto" w:sz="4" w:space="0"/>
              <w:right w:val="single" w:color="auto" w:sz="4" w:space="0"/>
            </w:tcBorders>
            <w:vAlign w:val="center"/>
          </w:tcPr>
          <w:p>
            <w:pPr>
              <w:spacing w:line="360" w:lineRule="atLeast"/>
              <w:ind w:firstLine="10" w:firstLineChars="5"/>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4827" w:type="dxa"/>
            <w:tcBorders>
              <w:top w:val="single" w:color="auto" w:sz="4" w:space="0"/>
              <w:left w:val="nil"/>
              <w:bottom w:val="single" w:color="auto" w:sz="4" w:space="0"/>
              <w:right w:val="single" w:color="auto" w:sz="4" w:space="0"/>
            </w:tcBorders>
            <w:vAlign w:val="center"/>
          </w:tcPr>
          <w:p>
            <w:pPr>
              <w:spacing w:line="360" w:lineRule="atLeas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2.2.1</w:t>
            </w:r>
          </w:p>
        </w:tc>
        <w:tc>
          <w:tcPr>
            <w:tcW w:w="3436" w:type="dxa"/>
            <w:gridSpan w:val="3"/>
            <w:tcBorders>
              <w:top w:val="single" w:color="auto" w:sz="4" w:space="0"/>
              <w:left w:val="nil"/>
              <w:bottom w:val="single" w:color="auto" w:sz="4" w:space="0"/>
              <w:right w:val="single" w:color="auto" w:sz="4" w:space="0"/>
            </w:tcBorders>
            <w:vAlign w:val="center"/>
          </w:tcPr>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分值构成</w:t>
            </w:r>
          </w:p>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（100分）</w:t>
            </w:r>
          </w:p>
        </w:tc>
        <w:tc>
          <w:tcPr>
            <w:tcW w:w="4827" w:type="dxa"/>
            <w:tcBorders>
              <w:top w:val="single" w:color="auto" w:sz="4" w:space="0"/>
              <w:left w:val="nil"/>
              <w:bottom w:val="single" w:color="auto" w:sz="4" w:space="0"/>
              <w:right w:val="single" w:color="auto" w:sz="4" w:space="0"/>
            </w:tcBorders>
            <w:vAlign w:val="center"/>
          </w:tcPr>
          <w:p>
            <w:pPr>
              <w:spacing w:line="360" w:lineRule="atLeast"/>
              <w:rPr>
                <w:rFonts w:hint="eastAsia" w:ascii="仿宋" w:hAnsi="仿宋" w:eastAsia="仿宋" w:cs="仿宋"/>
                <w:color w:val="auto"/>
                <w:highlight w:val="none"/>
              </w:rPr>
            </w:pPr>
            <w:r>
              <w:rPr>
                <w:rFonts w:hint="eastAsia" w:ascii="仿宋" w:hAnsi="仿宋" w:eastAsia="仿宋" w:cs="仿宋"/>
                <w:color w:val="auto"/>
                <w:highlight w:val="none"/>
              </w:rPr>
              <w:t>商务技术标</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0分，报价标</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04" w:type="dxa"/>
            <w:gridSpan w:val="5"/>
            <w:tcBorders>
              <w:top w:val="single" w:color="auto" w:sz="4" w:space="0"/>
              <w:left w:val="single" w:color="auto" w:sz="4" w:space="0"/>
              <w:bottom w:val="single" w:color="auto" w:sz="4" w:space="0"/>
              <w:right w:val="single" w:color="auto" w:sz="4" w:space="0"/>
            </w:tcBorders>
          </w:tcPr>
          <w:p>
            <w:pPr>
              <w:spacing w:line="360" w:lineRule="atLeas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技术分按算术平均值计算。分值小数点后保留两位。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条款号</w:t>
            </w:r>
          </w:p>
        </w:tc>
        <w:tc>
          <w:tcPr>
            <w:tcW w:w="1652" w:type="dxa"/>
            <w:gridSpan w:val="2"/>
            <w:tcBorders>
              <w:top w:val="single" w:color="auto" w:sz="4" w:space="0"/>
              <w:left w:val="nil"/>
              <w:bottom w:val="single" w:color="auto" w:sz="4" w:space="0"/>
              <w:right w:val="single" w:color="auto" w:sz="4" w:space="0"/>
            </w:tcBorders>
            <w:vAlign w:val="center"/>
          </w:tcPr>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评分因素</w:t>
            </w:r>
          </w:p>
        </w:tc>
        <w:tc>
          <w:tcPr>
            <w:tcW w:w="6611" w:type="dxa"/>
            <w:gridSpan w:val="2"/>
            <w:tcBorders>
              <w:top w:val="single" w:color="auto" w:sz="4" w:space="0"/>
              <w:left w:val="nil"/>
              <w:bottom w:val="single" w:color="auto" w:sz="4" w:space="0"/>
              <w:right w:val="single" w:color="auto" w:sz="4" w:space="0"/>
            </w:tcBorders>
            <w:vAlign w:val="center"/>
          </w:tcPr>
          <w:p>
            <w:pPr>
              <w:spacing w:line="36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41" w:type="dxa"/>
            <w:vMerge w:val="restart"/>
            <w:tcBorders>
              <w:top w:val="nil"/>
              <w:left w:val="single" w:color="auto" w:sz="4" w:space="0"/>
              <w:right w:val="single" w:color="auto" w:sz="4" w:space="0"/>
            </w:tcBorders>
            <w:vAlign w:val="center"/>
          </w:tcPr>
          <w:p>
            <w:pPr>
              <w:widowControl/>
              <w:spacing w:line="36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2.2.2商务技术标</w:t>
            </w:r>
          </w:p>
          <w:p>
            <w:pPr>
              <w:widowControl/>
              <w:spacing w:line="36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70</w:t>
            </w:r>
            <w:r>
              <w:rPr>
                <w:rFonts w:hint="eastAsia" w:ascii="仿宋" w:hAnsi="仿宋" w:eastAsia="仿宋" w:cs="仿宋"/>
                <w:color w:val="auto"/>
                <w:sz w:val="21"/>
                <w:szCs w:val="21"/>
                <w:highlight w:val="none"/>
              </w:rPr>
              <w:t>分）</w:t>
            </w:r>
          </w:p>
        </w:tc>
        <w:tc>
          <w:tcPr>
            <w:tcW w:w="165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本项目具体实施方案</w:t>
            </w:r>
            <w:r>
              <w:rPr>
                <w:rFonts w:hint="eastAsia" w:ascii="仿宋" w:hAnsi="仿宋" w:eastAsia="仿宋" w:cs="仿宋"/>
                <w:color w:val="auto"/>
                <w:kern w:val="0"/>
                <w:sz w:val="21"/>
                <w:szCs w:val="21"/>
                <w:highlight w:val="none"/>
                <w:lang w:val="en-US" w:eastAsia="zh-CN"/>
              </w:rPr>
              <w:t>的</w:t>
            </w:r>
          </w:p>
          <w:p>
            <w:pPr>
              <w:widowControl/>
              <w:spacing w:line="300" w:lineRule="exact"/>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可行性</w:t>
            </w:r>
          </w:p>
          <w:p>
            <w:pPr>
              <w:widowControl/>
              <w:spacing w:line="3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32</w:t>
            </w:r>
            <w:r>
              <w:rPr>
                <w:rFonts w:hint="eastAsia" w:ascii="仿宋" w:hAnsi="仿宋" w:eastAsia="仿宋" w:cs="仿宋"/>
                <w:color w:val="auto"/>
                <w:kern w:val="0"/>
                <w:sz w:val="21"/>
                <w:szCs w:val="21"/>
                <w:highlight w:val="none"/>
              </w:rPr>
              <w:t>分）</w:t>
            </w:r>
          </w:p>
        </w:tc>
        <w:tc>
          <w:tcPr>
            <w:tcW w:w="6611" w:type="dxa"/>
            <w:gridSpan w:val="2"/>
            <w:tcBorders>
              <w:top w:val="single" w:color="auto" w:sz="4" w:space="0"/>
              <w:left w:val="nil"/>
              <w:bottom w:val="single" w:color="auto" w:sz="4" w:space="0"/>
              <w:right w:val="single" w:color="auto" w:sz="4" w:space="0"/>
            </w:tcBorders>
            <w:vAlign w:val="center"/>
          </w:tcPr>
          <w:p>
            <w:pPr>
              <w:snapToGrid w:val="0"/>
              <w:spacing w:line="360" w:lineRule="auto"/>
              <w:outlineLvl w:val="1"/>
              <w:rPr>
                <w:rFonts w:hint="eastAsia" w:ascii="仿宋" w:hAnsi="仿宋" w:eastAsia="仿宋" w:cs="黑体"/>
                <w:color w:val="auto"/>
                <w:szCs w:val="21"/>
                <w:highlight w:val="none"/>
                <w:lang w:eastAsia="zh-CN"/>
              </w:rPr>
            </w:pPr>
            <w:r>
              <w:rPr>
                <w:rFonts w:ascii="仿宋" w:hAnsi="仿宋" w:eastAsia="仿宋" w:cs="黑体"/>
                <w:color w:val="auto"/>
                <w:szCs w:val="21"/>
                <w:highlight w:val="none"/>
              </w:rPr>
              <w:t>评委根据响应单位的经营管理方案进行横向比较后酌情打分</w:t>
            </w:r>
            <w:r>
              <w:rPr>
                <w:rFonts w:hint="eastAsia" w:ascii="仿宋" w:hAnsi="仿宋" w:eastAsia="仿宋" w:cs="黑体"/>
                <w:color w:val="auto"/>
                <w:szCs w:val="21"/>
                <w:highlight w:val="none"/>
                <w:lang w:eastAsia="zh-CN"/>
              </w:rPr>
              <w:t>：</w:t>
            </w:r>
          </w:p>
          <w:p>
            <w:pPr>
              <w:snapToGrid w:val="0"/>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（1）环境卫生管理方案：</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分</w:t>
            </w:r>
          </w:p>
          <w:p>
            <w:pPr>
              <w:snapToGrid w:val="0"/>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程序规范，责任明确，具有可操作性：组织管理体系科学，能够有效实施保洁服务。保洁服务方案完整，措施有效扎实，管理责任清晰，有</w:t>
            </w:r>
            <w:r>
              <w:rPr>
                <w:rFonts w:hint="eastAsia" w:ascii="仿宋" w:hAnsi="仿宋" w:eastAsia="仿宋" w:cs="仿宋"/>
                <w:color w:val="auto"/>
                <w:sz w:val="21"/>
                <w:szCs w:val="21"/>
                <w:highlight w:val="none"/>
                <w:lang w:val="en-US" w:eastAsia="zh-CN"/>
              </w:rPr>
              <w:t>完整</w:t>
            </w:r>
            <w:r>
              <w:rPr>
                <w:rFonts w:hint="eastAsia" w:ascii="仿宋" w:hAnsi="仿宋" w:eastAsia="仿宋" w:cs="仿宋"/>
                <w:color w:val="auto"/>
                <w:sz w:val="21"/>
                <w:szCs w:val="21"/>
                <w:highlight w:val="none"/>
              </w:rPr>
              <w:t>详细的工作计划方案</w:t>
            </w:r>
            <w:r>
              <w:rPr>
                <w:rFonts w:hint="eastAsia" w:ascii="仿宋" w:hAnsi="仿宋" w:eastAsia="仿宋" w:cs="仿宋"/>
                <w:color w:val="auto"/>
                <w:sz w:val="21"/>
                <w:szCs w:val="21"/>
                <w:highlight w:val="none"/>
                <w:lang w:val="en-US" w:eastAsia="zh-CN"/>
              </w:rPr>
              <w:t>的4-6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保洁服务方案</w:t>
            </w:r>
            <w:r>
              <w:rPr>
                <w:rFonts w:hint="eastAsia" w:ascii="仿宋" w:hAnsi="仿宋" w:eastAsia="仿宋" w:cs="仿宋"/>
                <w:color w:val="auto"/>
                <w:sz w:val="21"/>
                <w:szCs w:val="21"/>
                <w:highlight w:val="none"/>
                <w:lang w:val="en-US" w:eastAsia="zh-CN"/>
              </w:rPr>
              <w:t>较</w:t>
            </w:r>
            <w:r>
              <w:rPr>
                <w:rFonts w:hint="eastAsia" w:ascii="仿宋" w:hAnsi="仿宋" w:eastAsia="仿宋" w:cs="仿宋"/>
                <w:color w:val="auto"/>
                <w:sz w:val="21"/>
                <w:szCs w:val="21"/>
                <w:highlight w:val="none"/>
              </w:rPr>
              <w:t>完整，措施有效</w:t>
            </w:r>
            <w:r>
              <w:rPr>
                <w:rFonts w:hint="eastAsia" w:ascii="仿宋" w:hAnsi="仿宋" w:eastAsia="仿宋" w:cs="仿宋"/>
                <w:color w:val="auto"/>
                <w:sz w:val="21"/>
                <w:szCs w:val="21"/>
                <w:highlight w:val="none"/>
                <w:lang w:val="en-US" w:eastAsia="zh-CN"/>
              </w:rPr>
              <w:t>较</w:t>
            </w:r>
            <w:r>
              <w:rPr>
                <w:rFonts w:hint="eastAsia" w:ascii="仿宋" w:hAnsi="仿宋" w:eastAsia="仿宋" w:cs="仿宋"/>
                <w:color w:val="auto"/>
                <w:sz w:val="21"/>
                <w:szCs w:val="21"/>
                <w:highlight w:val="none"/>
              </w:rPr>
              <w:t>扎实，管理责任清晰，有详细的工作计划方案</w:t>
            </w:r>
            <w:r>
              <w:rPr>
                <w:rFonts w:hint="eastAsia" w:ascii="仿宋" w:hAnsi="仿宋" w:eastAsia="仿宋" w:cs="仿宋"/>
                <w:color w:val="auto"/>
                <w:sz w:val="21"/>
                <w:szCs w:val="21"/>
                <w:highlight w:val="none"/>
                <w:lang w:val="en-US" w:eastAsia="zh-CN"/>
              </w:rPr>
              <w:t>的2-3.9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保洁服务方案</w:t>
            </w:r>
            <w:r>
              <w:rPr>
                <w:rFonts w:hint="eastAsia" w:ascii="仿宋" w:hAnsi="仿宋" w:eastAsia="仿宋" w:cs="仿宋"/>
                <w:color w:val="auto"/>
                <w:sz w:val="21"/>
                <w:szCs w:val="21"/>
                <w:highlight w:val="none"/>
                <w:lang w:val="en-US" w:eastAsia="zh-CN"/>
              </w:rPr>
              <w:t>但不</w:t>
            </w:r>
            <w:r>
              <w:rPr>
                <w:rFonts w:hint="eastAsia" w:ascii="仿宋" w:hAnsi="仿宋" w:eastAsia="仿宋" w:cs="仿宋"/>
                <w:color w:val="auto"/>
                <w:sz w:val="21"/>
                <w:szCs w:val="21"/>
                <w:highlight w:val="none"/>
              </w:rPr>
              <w:t>完整，措施有效</w:t>
            </w:r>
            <w:r>
              <w:rPr>
                <w:rFonts w:hint="eastAsia" w:ascii="仿宋" w:hAnsi="仿宋" w:eastAsia="仿宋" w:cs="仿宋"/>
                <w:color w:val="auto"/>
                <w:sz w:val="21"/>
                <w:szCs w:val="21"/>
                <w:highlight w:val="none"/>
                <w:lang w:val="en-US" w:eastAsia="zh-CN"/>
              </w:rPr>
              <w:t>较</w:t>
            </w:r>
            <w:r>
              <w:rPr>
                <w:rFonts w:hint="eastAsia" w:ascii="仿宋" w:hAnsi="仿宋" w:eastAsia="仿宋" w:cs="仿宋"/>
                <w:color w:val="auto"/>
                <w:sz w:val="21"/>
                <w:szCs w:val="21"/>
                <w:highlight w:val="none"/>
              </w:rPr>
              <w:t>扎实，管理责任清晰，有</w:t>
            </w:r>
            <w:r>
              <w:rPr>
                <w:rFonts w:hint="eastAsia" w:ascii="仿宋" w:hAnsi="仿宋" w:eastAsia="仿宋" w:cs="仿宋"/>
                <w:color w:val="auto"/>
                <w:sz w:val="21"/>
                <w:szCs w:val="21"/>
                <w:highlight w:val="none"/>
                <w:lang w:val="en-US" w:eastAsia="zh-CN"/>
              </w:rPr>
              <w:t>但不</w:t>
            </w:r>
            <w:r>
              <w:rPr>
                <w:rFonts w:hint="eastAsia" w:ascii="仿宋" w:hAnsi="仿宋" w:eastAsia="仿宋" w:cs="仿宋"/>
                <w:color w:val="auto"/>
                <w:sz w:val="21"/>
                <w:szCs w:val="21"/>
                <w:highlight w:val="none"/>
              </w:rPr>
              <w:t>详细的工作计划方案</w:t>
            </w:r>
            <w:r>
              <w:rPr>
                <w:rFonts w:hint="eastAsia" w:ascii="仿宋" w:hAnsi="仿宋" w:eastAsia="仿宋" w:cs="仿宋"/>
                <w:color w:val="auto"/>
                <w:sz w:val="21"/>
                <w:szCs w:val="21"/>
                <w:highlight w:val="none"/>
                <w:lang w:val="en-US" w:eastAsia="zh-CN"/>
              </w:rPr>
              <w:t>的0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分；</w:t>
            </w:r>
          </w:p>
          <w:p>
            <w:pPr>
              <w:snapToGrid w:val="0"/>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（2）餐饮服务管理方案：</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分</w:t>
            </w:r>
          </w:p>
          <w:p>
            <w:pPr>
              <w:snapToGrid w:val="0"/>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程序规范，责任明确，具有可操作性：组织管理体系科学，能够有效实施服务。服务方案详细完整</w:t>
            </w:r>
            <w:r>
              <w:rPr>
                <w:rFonts w:hint="eastAsia" w:ascii="仿宋" w:hAnsi="仿宋" w:eastAsia="仿宋" w:cs="仿宋"/>
                <w:color w:val="auto"/>
                <w:sz w:val="21"/>
                <w:szCs w:val="21"/>
                <w:highlight w:val="none"/>
                <w:lang w:val="en-US" w:eastAsia="zh-CN"/>
              </w:rPr>
              <w:t>的4-6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服务方案</w:t>
            </w:r>
            <w:r>
              <w:rPr>
                <w:rFonts w:hint="eastAsia" w:ascii="仿宋" w:hAnsi="仿宋" w:eastAsia="仿宋" w:cs="仿宋"/>
                <w:color w:val="auto"/>
                <w:sz w:val="21"/>
                <w:szCs w:val="21"/>
                <w:highlight w:val="none"/>
                <w:lang w:val="en-US" w:eastAsia="zh-CN"/>
              </w:rPr>
              <w:t>较</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的2-3.9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服务方案</w:t>
            </w:r>
            <w:r>
              <w:rPr>
                <w:rFonts w:hint="eastAsia" w:ascii="仿宋" w:hAnsi="仿宋" w:eastAsia="仿宋" w:cs="仿宋"/>
                <w:color w:val="auto"/>
                <w:sz w:val="21"/>
                <w:szCs w:val="21"/>
                <w:highlight w:val="none"/>
                <w:lang w:val="en-US" w:eastAsia="zh-CN"/>
              </w:rPr>
              <w:t>有但不</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的0-1.9</w:t>
            </w:r>
            <w:r>
              <w:rPr>
                <w:rFonts w:hint="eastAsia" w:ascii="仿宋" w:hAnsi="仿宋" w:eastAsia="仿宋" w:cs="仿宋"/>
                <w:color w:val="auto"/>
                <w:sz w:val="21"/>
                <w:szCs w:val="21"/>
                <w:highlight w:val="none"/>
              </w:rPr>
              <w:t>分；</w:t>
            </w:r>
          </w:p>
          <w:p>
            <w:pPr>
              <w:snapToGrid w:val="0"/>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（3）突发事件处置及各类应急预案</w:t>
            </w:r>
            <w:r>
              <w:rPr>
                <w:rFonts w:ascii="仿宋" w:hAnsi="仿宋" w:eastAsia="仿宋" w:cs="黑体"/>
                <w:b/>
                <w:bCs/>
                <w:color w:val="auto"/>
                <w:szCs w:val="21"/>
                <w:highlight w:val="none"/>
              </w:rPr>
              <w:t>（</w:t>
            </w:r>
            <w:r>
              <w:rPr>
                <w:rFonts w:hint="eastAsia" w:ascii="仿宋" w:hAnsi="仿宋" w:eastAsia="仿宋" w:cs="黑体"/>
                <w:b/>
                <w:bCs/>
                <w:color w:val="auto"/>
                <w:szCs w:val="21"/>
                <w:highlight w:val="none"/>
                <w:lang w:val="en-US" w:eastAsia="zh-CN"/>
              </w:rPr>
              <w:t>含</w:t>
            </w:r>
            <w:r>
              <w:rPr>
                <w:rFonts w:ascii="仿宋" w:hAnsi="仿宋" w:eastAsia="仿宋" w:cs="黑体"/>
                <w:b/>
                <w:bCs/>
                <w:color w:val="auto"/>
                <w:szCs w:val="21"/>
                <w:highlight w:val="none"/>
              </w:rPr>
              <w:t>消防、食物中毒、其它突发事件等）</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分</w:t>
            </w:r>
          </w:p>
          <w:p>
            <w:pPr>
              <w:snapToGrid w:val="0"/>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供应商拟定的突发事件应急处理预案完备健全，对本服务针对性强具有实际可操作性</w:t>
            </w:r>
            <w:r>
              <w:rPr>
                <w:rFonts w:hint="eastAsia" w:ascii="仿宋" w:hAnsi="仿宋" w:eastAsia="仿宋" w:cs="仿宋"/>
                <w:color w:val="auto"/>
                <w:sz w:val="21"/>
                <w:szCs w:val="21"/>
                <w:highlight w:val="none"/>
                <w:lang w:val="en-US" w:eastAsia="zh-CN"/>
              </w:rPr>
              <w:t>的4-5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对本服务</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针对性具有实际可操作性</w:t>
            </w:r>
            <w:r>
              <w:rPr>
                <w:rFonts w:hint="eastAsia" w:ascii="仿宋" w:hAnsi="仿宋" w:eastAsia="仿宋" w:cs="仿宋"/>
                <w:color w:val="auto"/>
                <w:sz w:val="21"/>
                <w:szCs w:val="21"/>
                <w:highlight w:val="none"/>
                <w:lang w:val="en-US" w:eastAsia="zh-CN"/>
              </w:rPr>
              <w:t>的2-3.9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对本服务</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针对性</w:t>
            </w:r>
            <w:r>
              <w:rPr>
                <w:rFonts w:hint="eastAsia" w:ascii="仿宋" w:hAnsi="仿宋" w:eastAsia="仿宋" w:cs="仿宋"/>
                <w:color w:val="auto"/>
                <w:sz w:val="21"/>
                <w:szCs w:val="21"/>
                <w:highlight w:val="none"/>
                <w:lang w:val="en-US" w:eastAsia="zh-CN"/>
              </w:rPr>
              <w:t>但</w:t>
            </w:r>
            <w:r>
              <w:rPr>
                <w:rFonts w:hint="eastAsia" w:ascii="仿宋" w:hAnsi="仿宋" w:eastAsia="仿宋" w:cs="仿宋"/>
                <w:color w:val="auto"/>
                <w:sz w:val="21"/>
                <w:szCs w:val="21"/>
                <w:highlight w:val="none"/>
              </w:rPr>
              <w:t>实际可操作性</w:t>
            </w:r>
            <w:r>
              <w:rPr>
                <w:rFonts w:hint="eastAsia" w:ascii="仿宋" w:hAnsi="仿宋" w:eastAsia="仿宋" w:cs="仿宋"/>
                <w:color w:val="auto"/>
                <w:sz w:val="21"/>
                <w:szCs w:val="21"/>
                <w:highlight w:val="none"/>
                <w:lang w:val="en-US" w:eastAsia="zh-CN"/>
              </w:rPr>
              <w:t>不可行的0-1.9</w:t>
            </w:r>
            <w:r>
              <w:rPr>
                <w:rFonts w:hint="eastAsia" w:ascii="仿宋" w:hAnsi="仿宋" w:eastAsia="仿宋" w:cs="仿宋"/>
                <w:color w:val="auto"/>
                <w:sz w:val="21"/>
                <w:szCs w:val="21"/>
                <w:highlight w:val="none"/>
              </w:rPr>
              <w:t>分；</w:t>
            </w:r>
          </w:p>
          <w:p>
            <w:pPr>
              <w:snapToGrid w:val="0"/>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 xml:space="preserve">（4）人员配置、培训及管理: </w:t>
            </w: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分</w:t>
            </w:r>
          </w:p>
          <w:p>
            <w:pPr>
              <w:snapToGrid w:val="0"/>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人员配置、培训及管理：各类岗位及人员配置齐全、科学，专业人员持证上岗，人员培训、考核有标准，符合项目需求及优质服务的需要。</w:t>
            </w:r>
            <w:r>
              <w:rPr>
                <w:rFonts w:hint="eastAsia" w:ascii="仿宋" w:hAnsi="仿宋" w:eastAsia="仿宋" w:cs="仿宋"/>
                <w:color w:val="auto"/>
                <w:sz w:val="21"/>
                <w:szCs w:val="21"/>
                <w:highlight w:val="none"/>
                <w:lang w:val="en-US" w:eastAsia="zh-CN"/>
              </w:rPr>
              <w:t>配置方案</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的4-5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配置</w:t>
            </w:r>
            <w:r>
              <w:rPr>
                <w:rFonts w:hint="eastAsia" w:ascii="仿宋" w:hAnsi="仿宋" w:eastAsia="仿宋" w:cs="仿宋"/>
                <w:color w:val="auto"/>
                <w:sz w:val="21"/>
                <w:szCs w:val="21"/>
                <w:highlight w:val="none"/>
              </w:rPr>
              <w:t>方案</w:t>
            </w:r>
            <w:r>
              <w:rPr>
                <w:rFonts w:hint="eastAsia" w:ascii="仿宋" w:hAnsi="仿宋" w:eastAsia="仿宋" w:cs="仿宋"/>
                <w:color w:val="auto"/>
                <w:sz w:val="21"/>
                <w:szCs w:val="21"/>
                <w:highlight w:val="none"/>
                <w:lang w:val="en-US" w:eastAsia="zh-CN"/>
              </w:rPr>
              <w:t>较</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的2-3.9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配置</w:t>
            </w:r>
            <w:r>
              <w:rPr>
                <w:rFonts w:hint="eastAsia" w:ascii="仿宋" w:hAnsi="仿宋" w:eastAsia="仿宋" w:cs="仿宋"/>
                <w:color w:val="auto"/>
                <w:sz w:val="21"/>
                <w:szCs w:val="21"/>
                <w:highlight w:val="none"/>
              </w:rPr>
              <w:t>方案</w:t>
            </w:r>
            <w:r>
              <w:rPr>
                <w:rFonts w:hint="eastAsia" w:ascii="仿宋" w:hAnsi="仿宋" w:eastAsia="仿宋" w:cs="仿宋"/>
                <w:color w:val="auto"/>
                <w:sz w:val="21"/>
                <w:szCs w:val="21"/>
                <w:highlight w:val="none"/>
                <w:lang w:val="en-US" w:eastAsia="zh-CN"/>
              </w:rPr>
              <w:t>有但不</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的0-1.9</w:t>
            </w:r>
            <w:r>
              <w:rPr>
                <w:rFonts w:hint="eastAsia" w:ascii="仿宋" w:hAnsi="仿宋" w:eastAsia="仿宋" w:cs="仿宋"/>
                <w:color w:val="auto"/>
                <w:sz w:val="21"/>
                <w:szCs w:val="21"/>
                <w:highlight w:val="none"/>
              </w:rPr>
              <w:t>分；</w:t>
            </w:r>
          </w:p>
          <w:p>
            <w:pPr>
              <w:snapToGrid w:val="0"/>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（5）合理化建议及优惠措施：5分</w:t>
            </w:r>
          </w:p>
          <w:p>
            <w:pPr>
              <w:snapToGrid w:val="0"/>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供应商对本项目提出的合理化建议以及提出的优惠措施，经评委评审切实可行的</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对本项目提出的合理化建议以及提出的优惠措施</w:t>
            </w:r>
            <w:r>
              <w:rPr>
                <w:rFonts w:hint="eastAsia" w:ascii="仿宋" w:hAnsi="仿宋" w:eastAsia="仿宋" w:cs="仿宋"/>
                <w:color w:val="auto"/>
                <w:sz w:val="21"/>
                <w:szCs w:val="21"/>
                <w:highlight w:val="none"/>
                <w:lang w:val="en-US" w:eastAsia="zh-CN"/>
              </w:rPr>
              <w:t>部分</w:t>
            </w:r>
            <w:r>
              <w:rPr>
                <w:rFonts w:hint="eastAsia" w:ascii="仿宋" w:hAnsi="仿宋" w:eastAsia="仿宋" w:cs="仿宋"/>
                <w:color w:val="auto"/>
                <w:sz w:val="21"/>
                <w:szCs w:val="21"/>
                <w:highlight w:val="none"/>
              </w:rPr>
              <w:t>可行的</w:t>
            </w:r>
            <w:r>
              <w:rPr>
                <w:rFonts w:hint="eastAsia" w:ascii="仿宋" w:hAnsi="仿宋" w:eastAsia="仿宋" w:cs="仿宋"/>
                <w:color w:val="auto"/>
                <w:sz w:val="21"/>
                <w:szCs w:val="21"/>
                <w:highlight w:val="none"/>
                <w:lang w:val="en-US" w:eastAsia="zh-CN"/>
              </w:rPr>
              <w:t>的2-3.9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对本项目提出的合理化建议以及提出的优惠措施</w:t>
            </w:r>
            <w:r>
              <w:rPr>
                <w:rFonts w:hint="eastAsia" w:ascii="仿宋" w:hAnsi="仿宋" w:eastAsia="仿宋" w:cs="仿宋"/>
                <w:color w:val="auto"/>
                <w:sz w:val="21"/>
                <w:szCs w:val="21"/>
                <w:highlight w:val="none"/>
                <w:lang w:val="en-US" w:eastAsia="zh-CN"/>
              </w:rPr>
              <w:t>不可行的0-1.9</w:t>
            </w:r>
            <w:r>
              <w:rPr>
                <w:rFonts w:hint="eastAsia" w:ascii="仿宋" w:hAnsi="仿宋" w:eastAsia="仿宋" w:cs="仿宋"/>
                <w:color w:val="auto"/>
                <w:sz w:val="21"/>
                <w:szCs w:val="21"/>
                <w:highlight w:val="none"/>
              </w:rPr>
              <w:t>分；</w:t>
            </w:r>
          </w:p>
          <w:p>
            <w:pPr>
              <w:snapToGrid w:val="0"/>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（6）管理服务理念及管理制度：</w:t>
            </w: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分</w:t>
            </w:r>
          </w:p>
          <w:p>
            <w:pPr>
              <w:snapToGrid w:val="0"/>
              <w:spacing w:line="360" w:lineRule="auto"/>
              <w:outlineLvl w:val="1"/>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评委根据供应商针对本项目服务特点，总体评价其管理服务理念、服务定位、目标和管理模式，规章制度等详细完整</w:t>
            </w:r>
            <w:r>
              <w:rPr>
                <w:rFonts w:hint="eastAsia" w:ascii="仿宋" w:hAnsi="仿宋" w:eastAsia="仿宋" w:cs="仿宋"/>
                <w:color w:val="auto"/>
                <w:sz w:val="21"/>
                <w:szCs w:val="21"/>
                <w:highlight w:val="none"/>
                <w:lang w:val="en-US" w:eastAsia="zh-CN"/>
              </w:rPr>
              <w:t>的4-5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较</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的2-3.9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有但不</w:t>
            </w:r>
            <w:r>
              <w:rPr>
                <w:rFonts w:hint="eastAsia" w:ascii="仿宋" w:hAnsi="仿宋" w:eastAsia="仿宋" w:cs="仿宋"/>
                <w:color w:val="auto"/>
                <w:sz w:val="21"/>
                <w:szCs w:val="21"/>
                <w:highlight w:val="none"/>
              </w:rPr>
              <w:t>完整</w:t>
            </w:r>
            <w:r>
              <w:rPr>
                <w:rFonts w:hint="eastAsia" w:ascii="仿宋" w:hAnsi="仿宋" w:eastAsia="仿宋" w:cs="仿宋"/>
                <w:color w:val="auto"/>
                <w:sz w:val="21"/>
                <w:szCs w:val="21"/>
                <w:highlight w:val="none"/>
                <w:lang w:val="en-US" w:eastAsia="zh-CN"/>
              </w:rPr>
              <w:t>的0-1.9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1"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1"/>
                <w:szCs w:val="21"/>
                <w:highlight w:val="none"/>
              </w:rPr>
            </w:pPr>
          </w:p>
        </w:tc>
        <w:tc>
          <w:tcPr>
            <w:tcW w:w="1652"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黑体"/>
                <w:color w:val="auto"/>
                <w:szCs w:val="21"/>
                <w:highlight w:val="none"/>
              </w:rPr>
            </w:pPr>
            <w:r>
              <w:rPr>
                <w:rFonts w:ascii="仿宋" w:hAnsi="仿宋" w:eastAsia="仿宋" w:cs="黑体"/>
                <w:color w:val="auto"/>
                <w:szCs w:val="21"/>
                <w:highlight w:val="none"/>
              </w:rPr>
              <w:t>服务承诺</w:t>
            </w:r>
          </w:p>
          <w:p>
            <w:pPr>
              <w:jc w:val="center"/>
              <w:rPr>
                <w:rFonts w:ascii="仿宋" w:hAnsi="仿宋" w:eastAsia="仿宋" w:cs="黑体"/>
                <w:color w:val="auto"/>
                <w:szCs w:val="21"/>
                <w:highlight w:val="none"/>
              </w:rPr>
            </w:pPr>
            <w:r>
              <w:rPr>
                <w:rFonts w:ascii="仿宋" w:hAnsi="仿宋" w:eastAsia="仿宋" w:cs="黑体"/>
                <w:color w:val="auto"/>
                <w:szCs w:val="21"/>
                <w:highlight w:val="none"/>
              </w:rPr>
              <w:t>（</w:t>
            </w:r>
            <w:r>
              <w:rPr>
                <w:rFonts w:hint="eastAsia" w:ascii="仿宋" w:hAnsi="仿宋" w:eastAsia="仿宋" w:cs="黑体"/>
                <w:color w:val="auto"/>
                <w:szCs w:val="21"/>
                <w:highlight w:val="none"/>
                <w:lang w:val="en-US" w:eastAsia="zh-CN"/>
              </w:rPr>
              <w:t>10</w:t>
            </w:r>
            <w:r>
              <w:rPr>
                <w:rFonts w:ascii="仿宋" w:hAnsi="仿宋" w:eastAsia="仿宋" w:cs="黑体"/>
                <w:color w:val="auto"/>
                <w:szCs w:val="21"/>
                <w:highlight w:val="none"/>
              </w:rPr>
              <w:t>分）</w:t>
            </w:r>
          </w:p>
          <w:p>
            <w:pPr>
              <w:jc w:val="center"/>
              <w:rPr>
                <w:rFonts w:hint="eastAsia" w:ascii="仿宋" w:hAnsi="仿宋" w:eastAsia="仿宋" w:cs="仿宋"/>
                <w:color w:val="auto"/>
                <w:highlight w:val="none"/>
                <w:lang w:val="en-US" w:eastAsia="zh-CN"/>
              </w:rPr>
            </w:pPr>
          </w:p>
        </w:tc>
        <w:tc>
          <w:tcPr>
            <w:tcW w:w="6611" w:type="dxa"/>
            <w:gridSpan w:val="2"/>
            <w:tcBorders>
              <w:top w:val="single" w:color="auto" w:sz="4" w:space="0"/>
              <w:left w:val="nil"/>
              <w:bottom w:val="single" w:color="auto" w:sz="4" w:space="0"/>
              <w:right w:val="single" w:color="auto" w:sz="4" w:space="0"/>
            </w:tcBorders>
            <w:vAlign w:val="top"/>
          </w:tcPr>
          <w:p>
            <w:pPr>
              <w:widowControl/>
              <w:spacing w:line="360" w:lineRule="exact"/>
              <w:rPr>
                <w:rFonts w:ascii="仿宋" w:hAnsi="仿宋" w:eastAsia="仿宋" w:cs="黑体"/>
                <w:color w:val="auto"/>
                <w:szCs w:val="21"/>
                <w:highlight w:val="none"/>
              </w:rPr>
            </w:pPr>
            <w:r>
              <w:rPr>
                <w:rFonts w:ascii="仿宋" w:hAnsi="仿宋" w:eastAsia="仿宋" w:cs="黑体"/>
                <w:color w:val="auto"/>
                <w:szCs w:val="21"/>
                <w:highlight w:val="none"/>
              </w:rPr>
              <w:t>（1）有完整的服务承诺的，人员配备到位、相应规章制度、服装满足招标文件需求承诺合理的，根据投标人的承诺情况</w:t>
            </w:r>
            <w:r>
              <w:rPr>
                <w:rFonts w:hint="eastAsia" w:ascii="仿宋" w:hAnsi="仿宋" w:eastAsia="仿宋" w:cs="黑体"/>
                <w:color w:val="auto"/>
                <w:szCs w:val="21"/>
                <w:highlight w:val="none"/>
                <w:lang w:val="en-US" w:eastAsia="zh-CN"/>
              </w:rPr>
              <w:t>5~10</w:t>
            </w:r>
            <w:r>
              <w:rPr>
                <w:rFonts w:ascii="仿宋" w:hAnsi="仿宋" w:eastAsia="仿宋" w:cs="黑体"/>
                <w:color w:val="auto"/>
                <w:szCs w:val="21"/>
                <w:highlight w:val="none"/>
              </w:rPr>
              <w:t>分间酌情打分；</w:t>
            </w:r>
          </w:p>
          <w:p>
            <w:pPr>
              <w:widowControl/>
              <w:spacing w:line="360" w:lineRule="exact"/>
              <w:rPr>
                <w:rFonts w:ascii="仿宋" w:hAnsi="仿宋" w:eastAsia="仿宋" w:cs="黑体"/>
                <w:color w:val="auto"/>
                <w:szCs w:val="21"/>
                <w:highlight w:val="none"/>
              </w:rPr>
            </w:pPr>
            <w:r>
              <w:rPr>
                <w:rFonts w:ascii="仿宋" w:hAnsi="仿宋" w:eastAsia="仿宋" w:cs="黑体"/>
                <w:color w:val="auto"/>
                <w:szCs w:val="21"/>
                <w:highlight w:val="none"/>
              </w:rPr>
              <w:t>（2）有服务承诺，但承诺不清楚，不完整的，根据投标人的承诺情况</w:t>
            </w:r>
            <w:r>
              <w:rPr>
                <w:rFonts w:hint="eastAsia" w:ascii="仿宋" w:hAnsi="仿宋" w:eastAsia="仿宋" w:cs="黑体"/>
                <w:color w:val="auto"/>
                <w:szCs w:val="21"/>
                <w:highlight w:val="none"/>
                <w:lang w:val="en-US" w:eastAsia="zh-CN"/>
              </w:rPr>
              <w:t>0.1</w:t>
            </w:r>
            <w:r>
              <w:rPr>
                <w:rFonts w:ascii="仿宋" w:hAnsi="仿宋" w:eastAsia="仿宋" w:cs="黑体"/>
                <w:color w:val="auto"/>
                <w:szCs w:val="21"/>
                <w:highlight w:val="none"/>
              </w:rPr>
              <w:t>～</w:t>
            </w:r>
            <w:r>
              <w:rPr>
                <w:rFonts w:hint="eastAsia" w:ascii="仿宋" w:hAnsi="仿宋" w:eastAsia="仿宋" w:cs="黑体"/>
                <w:color w:val="auto"/>
                <w:szCs w:val="21"/>
                <w:highlight w:val="none"/>
                <w:lang w:val="en-US" w:eastAsia="zh-CN"/>
              </w:rPr>
              <w:t>4.9</w:t>
            </w:r>
            <w:r>
              <w:rPr>
                <w:rFonts w:ascii="仿宋" w:hAnsi="仿宋" w:eastAsia="仿宋" w:cs="黑体"/>
                <w:color w:val="auto"/>
                <w:szCs w:val="21"/>
                <w:highlight w:val="none"/>
              </w:rPr>
              <w:t>分间酌情打分；</w:t>
            </w:r>
          </w:p>
          <w:p>
            <w:pPr>
              <w:widowControl/>
              <w:spacing w:line="360" w:lineRule="exact"/>
              <w:rPr>
                <w:rFonts w:hint="eastAsia" w:ascii="仿宋" w:hAnsi="仿宋" w:eastAsia="仿宋" w:cs="仿宋"/>
                <w:b/>
                <w:bCs/>
                <w:color w:val="auto"/>
                <w:kern w:val="0"/>
                <w:sz w:val="21"/>
                <w:szCs w:val="21"/>
                <w:highlight w:val="none"/>
                <w:lang w:val="en-US" w:eastAsia="zh-CN"/>
              </w:rPr>
            </w:pPr>
            <w:r>
              <w:rPr>
                <w:rFonts w:ascii="仿宋" w:hAnsi="仿宋" w:eastAsia="仿宋" w:cs="黑体"/>
                <w:color w:val="auto"/>
                <w:szCs w:val="21"/>
                <w:highlight w:val="none"/>
              </w:rPr>
              <w:t>（3）无服务承诺不得分</w:t>
            </w:r>
            <w:r>
              <w:rPr>
                <w:rFonts w:hint="eastAsia" w:ascii="仿宋" w:hAnsi="仿宋" w:eastAsia="仿宋" w:cs="黑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41"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1"/>
                <w:szCs w:val="21"/>
                <w:highlight w:val="none"/>
              </w:rPr>
            </w:pPr>
          </w:p>
        </w:tc>
        <w:tc>
          <w:tcPr>
            <w:tcW w:w="165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投标单位的</w:t>
            </w:r>
          </w:p>
          <w:p>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类似业绩</w:t>
            </w:r>
          </w:p>
          <w:p>
            <w:pPr>
              <w:adjustRightInd w:val="0"/>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6611" w:type="dxa"/>
            <w:gridSpan w:val="2"/>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投标人近3年来（自201</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年1月1日</w:t>
            </w:r>
            <w:r>
              <w:rPr>
                <w:rFonts w:hint="eastAsia" w:ascii="仿宋" w:hAnsi="仿宋" w:eastAsia="仿宋" w:cs="仿宋"/>
                <w:color w:val="auto"/>
                <w:sz w:val="21"/>
                <w:szCs w:val="21"/>
                <w:highlight w:val="none"/>
              </w:rPr>
              <w:t>至投标日截止）</w:t>
            </w:r>
            <w:r>
              <w:rPr>
                <w:rFonts w:ascii="仿宋" w:hAnsi="仿宋" w:eastAsia="仿宋" w:cs="黑体"/>
                <w:color w:val="auto"/>
                <w:szCs w:val="21"/>
                <w:highlight w:val="none"/>
              </w:rPr>
              <w:t>以来，承担</w:t>
            </w:r>
            <w:r>
              <w:rPr>
                <w:rFonts w:hint="eastAsia" w:ascii="仿宋" w:hAnsi="仿宋" w:eastAsia="仿宋" w:cs="黑体"/>
                <w:color w:val="auto"/>
                <w:szCs w:val="21"/>
                <w:highlight w:val="none"/>
                <w:lang w:val="en-US" w:eastAsia="zh-CN"/>
              </w:rPr>
              <w:t>过本项目同类</w:t>
            </w:r>
            <w:r>
              <w:rPr>
                <w:rFonts w:ascii="仿宋" w:hAnsi="仿宋" w:eastAsia="仿宋" w:cs="黑体"/>
                <w:color w:val="auto"/>
                <w:szCs w:val="21"/>
                <w:highlight w:val="none"/>
              </w:rPr>
              <w:t>项目</w:t>
            </w:r>
            <w:r>
              <w:rPr>
                <w:rFonts w:hint="eastAsia" w:ascii="仿宋" w:hAnsi="仿宋" w:eastAsia="仿宋" w:cs="黑体"/>
                <w:color w:val="auto"/>
                <w:szCs w:val="21"/>
                <w:highlight w:val="none"/>
                <w:lang w:val="en-US" w:eastAsia="zh-CN"/>
              </w:rPr>
              <w:t>学校食堂经营项目业绩案例</w:t>
            </w:r>
            <w:r>
              <w:rPr>
                <w:rFonts w:hint="eastAsia" w:ascii="仿宋" w:hAnsi="仿宋" w:eastAsia="仿宋" w:cs="黑体"/>
                <w:color w:val="auto"/>
                <w:szCs w:val="21"/>
                <w:highlight w:val="none"/>
                <w:lang w:eastAsia="zh-CN"/>
              </w:rPr>
              <w:t>，</w:t>
            </w:r>
            <w:r>
              <w:rPr>
                <w:rFonts w:hint="eastAsia" w:ascii="仿宋" w:hAnsi="仿宋" w:eastAsia="仿宋" w:cs="黑体"/>
                <w:color w:val="auto"/>
                <w:szCs w:val="21"/>
                <w:highlight w:val="none"/>
                <w:lang w:val="en-US" w:eastAsia="zh-CN"/>
              </w:rPr>
              <w:t>有</w:t>
            </w:r>
            <w:r>
              <w:rPr>
                <w:rFonts w:ascii="仿宋" w:hAnsi="仿宋" w:eastAsia="仿宋" w:cs="黑体"/>
                <w:color w:val="auto"/>
                <w:szCs w:val="21"/>
                <w:highlight w:val="none"/>
              </w:rPr>
              <w:t>1个得5分，最多得20分</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合同</w:t>
            </w:r>
            <w:r>
              <w:rPr>
                <w:rFonts w:hint="eastAsia" w:ascii="仿宋" w:hAnsi="仿宋" w:eastAsia="仿宋" w:cs="仿宋"/>
                <w:color w:val="auto"/>
                <w:sz w:val="21"/>
                <w:szCs w:val="21"/>
                <w:highlight w:val="none"/>
              </w:rPr>
              <w:t>复印件并加盖公章，</w:t>
            </w:r>
            <w:r>
              <w:rPr>
                <w:rFonts w:hint="eastAsia" w:ascii="仿宋" w:hAnsi="仿宋" w:eastAsia="仿宋" w:cs="仿宋"/>
                <w:color w:val="auto"/>
                <w:sz w:val="21"/>
                <w:szCs w:val="21"/>
                <w:highlight w:val="none"/>
                <w:lang w:val="en-US" w:eastAsia="zh-CN"/>
              </w:rPr>
              <w:t>开标现场提供原件备查，无原件或</w:t>
            </w:r>
            <w:r>
              <w:rPr>
                <w:rFonts w:hint="eastAsia" w:ascii="仿宋" w:hAnsi="仿宋" w:eastAsia="仿宋" w:cs="仿宋"/>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41" w:type="dxa"/>
            <w:vMerge w:val="continue"/>
            <w:tcBorders>
              <w:left w:val="single" w:color="auto" w:sz="4" w:space="0"/>
              <w:bottom w:val="single" w:color="auto" w:sz="4" w:space="0"/>
              <w:right w:val="single" w:color="auto" w:sz="4" w:space="0"/>
            </w:tcBorders>
            <w:vAlign w:val="center"/>
          </w:tcPr>
          <w:p>
            <w:pPr>
              <w:widowControl/>
              <w:spacing w:line="360" w:lineRule="atLeast"/>
              <w:jc w:val="left"/>
              <w:rPr>
                <w:rFonts w:hint="eastAsia" w:ascii="仿宋" w:hAnsi="仿宋" w:eastAsia="仿宋" w:cs="仿宋"/>
                <w:color w:val="auto"/>
                <w:sz w:val="21"/>
                <w:szCs w:val="21"/>
                <w:highlight w:val="none"/>
              </w:rPr>
            </w:pPr>
          </w:p>
        </w:tc>
        <w:tc>
          <w:tcPr>
            <w:tcW w:w="1652"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eastAsia="zh-CN"/>
              </w:rPr>
              <w:t>单位</w:t>
            </w:r>
            <w:r>
              <w:rPr>
                <w:rFonts w:hint="eastAsia" w:ascii="仿宋" w:hAnsi="仿宋" w:eastAsia="仿宋" w:cs="仿宋"/>
                <w:color w:val="auto"/>
                <w:sz w:val="21"/>
                <w:szCs w:val="21"/>
                <w:highlight w:val="none"/>
              </w:rPr>
              <w:t>的</w:t>
            </w:r>
          </w:p>
          <w:p>
            <w:pPr>
              <w:spacing w:line="24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相关认证证书（</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6611" w:type="dxa"/>
            <w:gridSpan w:val="2"/>
            <w:tcBorders>
              <w:top w:val="single" w:color="auto" w:sz="4" w:space="0"/>
              <w:left w:val="nil"/>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1.通过质量管理体系认证证书的得2分；</w:t>
            </w:r>
          </w:p>
          <w:p>
            <w:pPr>
              <w:pStyle w:val="12"/>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2.通过环境管理体系认证证书的得2分；</w:t>
            </w:r>
          </w:p>
          <w:p>
            <w:pPr>
              <w:pStyle w:val="12"/>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3.通过职业健康安全管理体系认证证书的得2分；</w:t>
            </w:r>
          </w:p>
          <w:p>
            <w:pPr>
              <w:pStyle w:val="12"/>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4.通过食品安全管理体系认证证书的得2分；</w:t>
            </w:r>
          </w:p>
          <w:p>
            <w:pPr>
              <w:pStyle w:val="12"/>
              <w:spacing w:line="300" w:lineRule="exact"/>
              <w:ind w:left="0" w:leftChars="0" w:firstLine="0" w:firstLineChars="0"/>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提供在中国认监委网站查询证书结果截图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以上证书均需提供原件至开标现场备查，无原件、无截图均不予得分。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504" w:type="dxa"/>
            <w:gridSpan w:val="5"/>
            <w:tcBorders>
              <w:top w:val="single" w:color="auto" w:sz="4" w:space="0"/>
              <w:left w:val="single" w:color="auto" w:sz="4" w:space="0"/>
              <w:bottom w:val="single" w:color="auto" w:sz="4" w:space="0"/>
              <w:right w:val="single" w:color="auto" w:sz="4" w:space="0"/>
            </w:tcBorders>
            <w:vAlign w:val="center"/>
          </w:tcPr>
          <w:p>
            <w:pPr>
              <w:pStyle w:val="34"/>
              <w:snapToGrid w:val="0"/>
              <w:spacing w:line="360" w:lineRule="exact"/>
              <w:ind w:firstLine="315" w:firstLineChars="150"/>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rPr>
              <w:t>注：上述条款号2.2.2</w:t>
            </w:r>
            <w:r>
              <w:rPr>
                <w:rFonts w:hint="eastAsia" w:ascii="仿宋" w:hAnsi="仿宋" w:eastAsia="仿宋" w:cs="仿宋"/>
                <w:b/>
                <w:bCs/>
                <w:color w:val="auto"/>
                <w:kern w:val="0"/>
                <w:sz w:val="21"/>
                <w:szCs w:val="21"/>
                <w:highlight w:val="none"/>
              </w:rPr>
              <w:t>技术商务标的纸质响应所有材料需提供复印件并加盖单位公章</w:t>
            </w:r>
            <w:r>
              <w:rPr>
                <w:rFonts w:hint="eastAsia" w:ascii="仿宋" w:hAnsi="仿宋" w:eastAsia="仿宋" w:cs="仿宋"/>
                <w:b/>
                <w:bCs/>
                <w:color w:val="auto"/>
                <w:kern w:val="0"/>
                <w:sz w:val="21"/>
                <w:szCs w:val="21"/>
                <w:highlight w:val="none"/>
                <w:lang w:eastAsia="zh-CN"/>
              </w:rPr>
              <w:t>，</w:t>
            </w:r>
            <w:r>
              <w:rPr>
                <w:rFonts w:hint="eastAsia" w:ascii="仿宋" w:hAnsi="仿宋" w:eastAsia="仿宋" w:cs="仿宋"/>
                <w:b/>
                <w:bCs/>
                <w:color w:val="auto"/>
                <w:kern w:val="0"/>
                <w:sz w:val="21"/>
                <w:szCs w:val="21"/>
                <w:highlight w:val="none"/>
                <w:lang w:val="en-US" w:eastAsia="zh-CN"/>
              </w:rPr>
              <w:t>所有证书及佐证材料均需在开标现场提供原件备查，无原件不予得分；提供资料不清晰或不全的不予得分。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2.2.3</w:t>
            </w:r>
          </w:p>
          <w:p>
            <w:pPr>
              <w:spacing w:line="360" w:lineRule="atLeast"/>
              <w:ind w:firstLine="210" w:firstLineChars="1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报价标</w:t>
            </w:r>
          </w:p>
          <w:p>
            <w:pPr>
              <w:spacing w:line="360" w:lineRule="atLeas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vanish/>
                <w:color w:val="auto"/>
                <w:kern w:val="0"/>
                <w:sz w:val="21"/>
                <w:szCs w:val="21"/>
                <w:highlight w:val="none"/>
              </w:rPr>
              <w:t>五条济技术开发区精密机械产业园土壤环境场地调查服务项目</w:t>
            </w:r>
            <w:r>
              <w:rPr>
                <w:rFonts w:hint="eastAsia" w:ascii="仿宋" w:hAnsi="仿宋" w:eastAsia="仿宋" w:cs="仿宋"/>
                <w:vanish/>
                <w:color w:val="auto"/>
                <w:kern w:val="0"/>
                <w:sz w:val="21"/>
                <w:szCs w:val="21"/>
                <w:highlight w:val="none"/>
              </w:rPr>
              <w:pgNum/>
            </w:r>
            <w:r>
              <w:rPr>
                <w:rFonts w:hint="eastAsia" w:ascii="仿宋" w:hAnsi="仿宋" w:eastAsia="仿宋" w:cs="仿宋"/>
                <w:color w:val="auto"/>
                <w:kern w:val="0"/>
                <w:sz w:val="21"/>
                <w:szCs w:val="21"/>
                <w:highlight w:val="none"/>
              </w:rPr>
              <w:t>分）</w:t>
            </w:r>
          </w:p>
        </w:tc>
        <w:tc>
          <w:tcPr>
            <w:tcW w:w="1652" w:type="dxa"/>
            <w:gridSpan w:val="2"/>
            <w:tcBorders>
              <w:top w:val="single" w:color="auto" w:sz="4" w:space="0"/>
              <w:left w:val="nil"/>
              <w:bottom w:val="single" w:color="auto" w:sz="4" w:space="0"/>
              <w:right w:val="single" w:color="auto" w:sz="4" w:space="0"/>
            </w:tcBorders>
            <w:vAlign w:val="center"/>
          </w:tcPr>
          <w:p>
            <w:pPr>
              <w:spacing w:line="360" w:lineRule="atLeas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磋商基准价</w:t>
            </w:r>
          </w:p>
        </w:tc>
        <w:tc>
          <w:tcPr>
            <w:tcW w:w="6611" w:type="dxa"/>
            <w:gridSpan w:val="2"/>
            <w:tcBorders>
              <w:top w:val="single" w:color="auto" w:sz="4" w:space="0"/>
              <w:left w:val="nil"/>
              <w:bottom w:val="single" w:color="auto" w:sz="4" w:space="0"/>
              <w:right w:val="single" w:color="auto" w:sz="4" w:space="0"/>
            </w:tcBorders>
            <w:vAlign w:val="center"/>
          </w:tcPr>
          <w:p>
            <w:pPr>
              <w:spacing w:line="360" w:lineRule="atLeast"/>
              <w:rPr>
                <w:rFonts w:hint="eastAsia" w:ascii="仿宋" w:hAnsi="仿宋" w:eastAsia="仿宋" w:cs="仿宋"/>
                <w:color w:val="auto"/>
                <w:highlight w:val="none"/>
              </w:rPr>
            </w:pPr>
            <w:r>
              <w:rPr>
                <w:rFonts w:hint="eastAsia" w:ascii="仿宋" w:hAnsi="仿宋" w:eastAsia="仿宋" w:cs="仿宋"/>
                <w:color w:val="auto"/>
                <w:highlight w:val="none"/>
              </w:rPr>
              <w:t>满足磋商文件要求且响应价格最低的响应报价为评标基准价，其价格分为满分（</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0分），其他磋商供应商的价格分统一按照下列公式计算：</w:t>
            </w:r>
          </w:p>
          <w:p>
            <w:pPr>
              <w:spacing w:line="360" w:lineRule="atLeast"/>
              <w:rPr>
                <w:rFonts w:hint="eastAsia" w:ascii="仿宋" w:hAnsi="仿宋" w:eastAsia="仿宋" w:cs="仿宋"/>
                <w:color w:val="auto"/>
                <w:highlight w:val="none"/>
              </w:rPr>
            </w:pPr>
            <w:r>
              <w:rPr>
                <w:rFonts w:hint="eastAsia" w:ascii="仿宋" w:hAnsi="仿宋" w:eastAsia="仿宋" w:cs="仿宋"/>
                <w:color w:val="auto"/>
                <w:highlight w:val="none"/>
              </w:rPr>
              <w:t>响应报价得分=(响应评标基准价／响应报价)×</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0%*100</w:t>
            </w:r>
          </w:p>
          <w:p>
            <w:pPr>
              <w:pStyle w:val="2"/>
              <w:rPr>
                <w:rFonts w:hint="eastAsia"/>
                <w:color w:val="auto"/>
                <w:highlight w:val="none"/>
              </w:rPr>
            </w:pPr>
            <w:r>
              <w:rPr>
                <w:rFonts w:hint="eastAsia" w:ascii="仿宋" w:hAnsi="仿宋" w:eastAsia="仿宋" w:cs="仿宋"/>
                <w:color w:val="auto"/>
                <w:kern w:val="2"/>
                <w:sz w:val="21"/>
                <w:szCs w:val="21"/>
                <w:highlight w:val="none"/>
                <w:lang w:val="en-US" w:eastAsia="zh-CN" w:bidi="ar-SA"/>
              </w:rPr>
              <w:t>注：【报价中月平均工资发放标准和养老保险缴纳（五保）标准不得低于南通市人力资源和社会保障局规定的最低工资标准】，若低于此标准，经磋商委员会核实后报价标不予得分。</w:t>
            </w:r>
          </w:p>
        </w:tc>
      </w:tr>
    </w:tbl>
    <w:p>
      <w:pPr>
        <w:rPr>
          <w:rFonts w:hint="eastAsia" w:ascii="仿宋" w:hAnsi="仿宋" w:eastAsia="仿宋"/>
          <w:b/>
          <w:bCs/>
          <w:color w:val="auto"/>
          <w:sz w:val="23"/>
          <w:szCs w:val="23"/>
          <w:highlight w:val="none"/>
        </w:rPr>
      </w:pPr>
      <w:r>
        <w:rPr>
          <w:rFonts w:hint="eastAsia" w:ascii="仿宋" w:hAnsi="仿宋" w:eastAsia="仿宋"/>
          <w:b/>
          <w:bCs/>
          <w:color w:val="auto"/>
          <w:sz w:val="23"/>
          <w:szCs w:val="23"/>
          <w:highlight w:val="none"/>
        </w:rPr>
        <w:t xml:space="preserve"> </w:t>
      </w:r>
    </w:p>
    <w:p>
      <w:pPr>
        <w:pStyle w:val="27"/>
        <w:rPr>
          <w:rFonts w:hint="eastAsia" w:ascii="仿宋" w:hAnsi="仿宋" w:eastAsia="仿宋"/>
          <w:color w:val="auto"/>
          <w:sz w:val="32"/>
          <w:szCs w:val="32"/>
          <w:highlight w:val="none"/>
        </w:rPr>
      </w:pPr>
    </w:p>
    <w:p>
      <w:pP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pPr>
        <w:widowControl/>
        <w:ind w:left="0" w:leftChars="0" w:firstLine="0" w:firstLineChars="0"/>
        <w:jc w:val="center"/>
        <w:outlineLvl w:val="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第七章</w:t>
      </w:r>
      <w:r>
        <w:rPr>
          <w:rFonts w:hint="eastAsia" w:ascii="仿宋" w:hAnsi="仿宋" w:eastAsia="仿宋"/>
          <w:b/>
          <w:bCs/>
          <w:color w:val="auto"/>
          <w:sz w:val="32"/>
          <w:szCs w:val="32"/>
          <w:highlight w:val="none"/>
          <w:lang w:val="en-US" w:eastAsia="zh-CN"/>
        </w:rPr>
        <w:t xml:space="preserve">  </w:t>
      </w:r>
      <w:r>
        <w:rPr>
          <w:rFonts w:hint="eastAsia" w:ascii="仿宋" w:hAnsi="仿宋" w:eastAsia="仿宋"/>
          <w:b/>
          <w:bCs/>
          <w:color w:val="auto"/>
          <w:sz w:val="32"/>
          <w:szCs w:val="32"/>
          <w:highlight w:val="none"/>
        </w:rPr>
        <w:t>竞争性供应商响应文件组成</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pStyle w:val="5"/>
        <w:spacing w:line="360" w:lineRule="auto"/>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封面</w:t>
      </w:r>
    </w:p>
    <w:p>
      <w:pPr>
        <w:spacing w:line="360" w:lineRule="auto"/>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竞争性供应商响应文件</w:t>
      </w:r>
    </w:p>
    <w:p>
      <w:pPr>
        <w:spacing w:line="360" w:lineRule="auto"/>
        <w:jc w:val="left"/>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 xml:space="preserve"> </w:t>
      </w:r>
    </w:p>
    <w:p>
      <w:pPr>
        <w:pStyle w:val="26"/>
        <w:ind w:firstLine="0"/>
        <w:jc w:val="center"/>
        <w:rPr>
          <w:rFonts w:hint="eastAsia" w:ascii="仿宋" w:hAnsi="仿宋" w:eastAsia="仿宋"/>
          <w:b/>
          <w:bCs/>
          <w:color w:val="auto"/>
          <w:sz w:val="28"/>
          <w:szCs w:val="28"/>
          <w:highlight w:val="none"/>
        </w:rPr>
      </w:pPr>
      <w:r>
        <w:rPr>
          <w:rFonts w:hint="eastAsia" w:ascii="仿宋" w:hAnsi="仿宋" w:eastAsia="仿宋"/>
          <w:color w:val="auto"/>
          <w:sz w:val="28"/>
          <w:szCs w:val="28"/>
          <w:highlight w:val="none"/>
          <w:u w:val="single"/>
        </w:rPr>
        <w:t>资格证明材料包/技术标包/报价标包</w:t>
      </w:r>
    </w:p>
    <w:p>
      <w:pPr>
        <w:spacing w:line="360" w:lineRule="auto"/>
        <w:jc w:val="left"/>
        <w:rPr>
          <w:rFonts w:hint="eastAsia"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 xml:space="preserve"> </w:t>
      </w:r>
    </w:p>
    <w:p>
      <w:pPr>
        <w:spacing w:line="360" w:lineRule="auto"/>
        <w:jc w:val="left"/>
        <w:rPr>
          <w:rFonts w:hint="eastAsia" w:ascii="仿宋" w:hAnsi="仿宋" w:eastAsia="仿宋"/>
          <w:b/>
          <w:bCs/>
          <w:color w:val="auto"/>
          <w:kern w:val="0"/>
          <w:sz w:val="28"/>
          <w:szCs w:val="28"/>
          <w:highlight w:val="none"/>
        </w:rPr>
      </w:pPr>
      <w:r>
        <w:rPr>
          <w:rFonts w:hint="eastAsia" w:ascii="仿宋" w:hAnsi="仿宋" w:eastAsia="仿宋"/>
          <w:b/>
          <w:bCs/>
          <w:color w:val="auto"/>
          <w:kern w:val="0"/>
          <w:sz w:val="28"/>
          <w:szCs w:val="28"/>
          <w:highlight w:val="none"/>
        </w:rPr>
        <w:t xml:space="preserve"> </w:t>
      </w:r>
    </w:p>
    <w:p>
      <w:pPr>
        <w:spacing w:line="360" w:lineRule="auto"/>
        <w:ind w:firstLine="843" w:firstLineChars="3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pPr>
        <w:spacing w:line="360" w:lineRule="auto"/>
        <w:ind w:firstLine="843" w:firstLineChars="3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pPr>
        <w:spacing w:line="360" w:lineRule="auto"/>
        <w:ind w:firstLine="843" w:firstLineChars="3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项目名称：</w:t>
      </w:r>
    </w:p>
    <w:p>
      <w:pPr>
        <w:spacing w:line="360" w:lineRule="auto"/>
        <w:ind w:firstLine="843" w:firstLineChars="300"/>
        <w:rPr>
          <w:rFonts w:hint="eastAsia" w:ascii="仿宋" w:hAnsi="仿宋" w:eastAsia="仿宋"/>
          <w:b/>
          <w:bCs/>
          <w:color w:val="auto"/>
          <w:sz w:val="28"/>
          <w:szCs w:val="28"/>
          <w:highlight w:val="none"/>
          <w:u w:val="single"/>
        </w:rPr>
      </w:pPr>
      <w:r>
        <w:rPr>
          <w:rFonts w:hint="eastAsia" w:ascii="仿宋" w:hAnsi="仿宋" w:eastAsia="仿宋"/>
          <w:b/>
          <w:bCs/>
          <w:color w:val="auto"/>
          <w:sz w:val="28"/>
          <w:szCs w:val="28"/>
          <w:highlight w:val="none"/>
        </w:rPr>
        <w:t>项目编号：</w:t>
      </w:r>
    </w:p>
    <w:p>
      <w:pPr>
        <w:spacing w:line="360" w:lineRule="auto"/>
        <w:ind w:firstLine="843" w:firstLineChars="3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磋商供应商名称：</w:t>
      </w:r>
    </w:p>
    <w:p>
      <w:pPr>
        <w:spacing w:line="360" w:lineRule="auto"/>
        <w:ind w:firstLine="970" w:firstLineChars="345"/>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日期：</w:t>
      </w:r>
    </w:p>
    <w:p>
      <w:pPr>
        <w:pStyle w:val="26"/>
        <w:ind w:firstLine="1848" w:firstLineChars="770"/>
        <w:rPr>
          <w:rFonts w:hint="eastAsia" w:ascii="仿宋" w:hAnsi="仿宋" w:eastAsia="仿宋"/>
          <w:color w:val="auto"/>
          <w:kern w:val="2"/>
          <w:highlight w:val="none"/>
        </w:rPr>
      </w:pPr>
      <w:r>
        <w:rPr>
          <w:rFonts w:hint="eastAsia" w:ascii="仿宋" w:hAnsi="仿宋" w:eastAsia="仿宋"/>
          <w:color w:val="auto"/>
          <w:kern w:val="2"/>
          <w:highlight w:val="none"/>
        </w:rPr>
        <w:t xml:space="preserve"> </w:t>
      </w:r>
    </w:p>
    <w:p>
      <w:pPr>
        <w:pStyle w:val="26"/>
        <w:ind w:firstLine="1848" w:firstLineChars="770"/>
        <w:rPr>
          <w:rFonts w:hint="eastAsia" w:ascii="仿宋" w:hAnsi="仿宋" w:eastAsia="仿宋"/>
          <w:color w:val="auto"/>
          <w:kern w:val="2"/>
          <w:highlight w:val="none"/>
        </w:rPr>
      </w:pPr>
      <w:r>
        <w:rPr>
          <w:rFonts w:hint="eastAsia" w:ascii="仿宋" w:hAnsi="仿宋" w:eastAsia="仿宋"/>
          <w:color w:val="auto"/>
          <w:kern w:val="2"/>
          <w:highlight w:val="none"/>
        </w:rPr>
        <w:t xml:space="preserve"> </w:t>
      </w:r>
    </w:p>
    <w:p>
      <w:pPr>
        <w:snapToGrid w:val="0"/>
        <w:spacing w:line="360" w:lineRule="auto"/>
        <w:jc w:val="center"/>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jc w:val="center"/>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jc w:val="center"/>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pStyle w:val="2"/>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ind w:firstLine="1960" w:firstLineChars="7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pStyle w:val="18"/>
        <w:outlineLvl w:val="9"/>
        <w:rPr>
          <w:rFonts w:hint="eastAsia" w:ascii="仿宋" w:hAnsi="仿宋" w:eastAsia="仿宋"/>
          <w:color w:val="auto"/>
          <w:sz w:val="28"/>
          <w:szCs w:val="28"/>
          <w:highlight w:val="none"/>
        </w:rPr>
      </w:pPr>
    </w:p>
    <w:p>
      <w:pPr>
        <w:outlineLvl w:val="9"/>
        <w:rPr>
          <w:rFonts w:hint="eastAsia"/>
          <w:color w:val="auto"/>
          <w:highlight w:val="none"/>
        </w:rPr>
      </w:pPr>
    </w:p>
    <w:p>
      <w:pPr>
        <w:snapToGrid w:val="0"/>
        <w:spacing w:line="360" w:lineRule="auto"/>
        <w:ind w:firstLine="1960" w:firstLineChars="700"/>
        <w:outlineLvl w:val="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第一部分</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资格审查材料内容</w:t>
      </w:r>
    </w:p>
    <w:p>
      <w:pPr>
        <w:autoSpaceDE w:val="0"/>
        <w:autoSpaceDN w:val="0"/>
        <w:adjustRightInd w:val="0"/>
        <w:spacing w:line="360" w:lineRule="auto"/>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目录</w:t>
      </w:r>
    </w:p>
    <w:tbl>
      <w:tblPr>
        <w:tblStyle w:val="13"/>
        <w:tblW w:w="9229" w:type="dxa"/>
        <w:tblInd w:w="93" w:type="dxa"/>
        <w:tblLayout w:type="fixed"/>
        <w:tblCellMar>
          <w:top w:w="0" w:type="dxa"/>
          <w:left w:w="108" w:type="dxa"/>
          <w:bottom w:w="0" w:type="dxa"/>
          <w:right w:w="108" w:type="dxa"/>
        </w:tblCellMar>
      </w:tblPr>
      <w:tblGrid>
        <w:gridCol w:w="760"/>
        <w:gridCol w:w="6160"/>
        <w:gridCol w:w="2309"/>
      </w:tblGrid>
      <w:tr>
        <w:tblPrEx>
          <w:tblCellMar>
            <w:top w:w="0" w:type="dxa"/>
            <w:left w:w="108" w:type="dxa"/>
            <w:bottom w:w="0" w:type="dxa"/>
            <w:right w:w="108" w:type="dxa"/>
          </w:tblCellMar>
        </w:tblPrEx>
        <w:trPr>
          <w:trHeight w:val="570"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r>
              <w:rPr>
                <w:rFonts w:hint="eastAsia" w:ascii="仿宋" w:hAnsi="仿宋" w:eastAsia="仿宋"/>
                <w:color w:val="auto"/>
                <w:kern w:val="0"/>
                <w:highlight w:val="none"/>
              </w:rPr>
              <w:t>序号</w:t>
            </w:r>
          </w:p>
        </w:tc>
        <w:tc>
          <w:tcPr>
            <w:tcW w:w="616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r>
              <w:rPr>
                <w:rFonts w:hint="eastAsia" w:ascii="仿宋" w:hAnsi="仿宋" w:eastAsia="仿宋"/>
                <w:color w:val="auto"/>
                <w:kern w:val="0"/>
                <w:highlight w:val="none"/>
              </w:rPr>
              <w:t>材料明细</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olor w:val="auto"/>
                <w:kern w:val="0"/>
                <w:highlight w:val="none"/>
              </w:rPr>
            </w:pPr>
            <w:r>
              <w:rPr>
                <w:rFonts w:hint="eastAsia" w:ascii="仿宋" w:hAnsi="仿宋" w:eastAsia="仿宋"/>
                <w:color w:val="auto"/>
                <w:kern w:val="0"/>
                <w:highlight w:val="none"/>
              </w:rPr>
              <w:t>是否符合（打√）</w:t>
            </w:r>
          </w:p>
        </w:tc>
      </w:tr>
      <w:tr>
        <w:tblPrEx>
          <w:tblCellMar>
            <w:top w:w="0" w:type="dxa"/>
            <w:left w:w="108" w:type="dxa"/>
            <w:bottom w:w="0" w:type="dxa"/>
            <w:right w:w="108" w:type="dxa"/>
          </w:tblCellMar>
        </w:tblPrEx>
        <w:trPr>
          <w:trHeight w:val="72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1</w:t>
            </w:r>
          </w:p>
        </w:tc>
        <w:tc>
          <w:tcPr>
            <w:tcW w:w="6160" w:type="dxa"/>
            <w:tcBorders>
              <w:top w:val="single" w:color="auto" w:sz="4" w:space="0"/>
              <w:left w:val="nil"/>
              <w:bottom w:val="single" w:color="auto" w:sz="4" w:space="0"/>
              <w:right w:val="single" w:color="auto" w:sz="4" w:space="0"/>
            </w:tcBorders>
          </w:tcPr>
          <w:p>
            <w:pPr>
              <w:widowControl/>
              <w:jc w:val="left"/>
              <w:rPr>
                <w:rFonts w:ascii="仿宋" w:hAnsi="仿宋" w:eastAsia="仿宋"/>
                <w:color w:val="auto"/>
                <w:kern w:val="0"/>
                <w:highlight w:val="none"/>
              </w:rPr>
            </w:pPr>
            <w:r>
              <w:rPr>
                <w:rFonts w:hint="eastAsia" w:ascii="仿宋" w:hAnsi="仿宋" w:eastAsia="仿宋"/>
                <w:color w:val="auto"/>
                <w:kern w:val="0"/>
                <w:highlight w:val="none"/>
              </w:rPr>
              <w:t>法定代表人参加项目磋商的，须提供法定代表人身份证明书原件；非法定代表人参加的，必须提供法定代表人签名或盖章的授权委托书原件及被授权代表身份证原件；</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r>
              <w:rPr>
                <w:rFonts w:hint="eastAsia" w:ascii="仿宋" w:hAnsi="仿宋" w:eastAsia="仿宋"/>
                <w:color w:val="auto"/>
                <w:kern w:val="0"/>
                <w:highlight w:val="none"/>
              </w:rPr>
              <w:t>　</w:t>
            </w: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2</w:t>
            </w:r>
          </w:p>
        </w:tc>
        <w:tc>
          <w:tcPr>
            <w:tcW w:w="6160" w:type="dxa"/>
            <w:tcBorders>
              <w:top w:val="single" w:color="auto" w:sz="4" w:space="0"/>
              <w:left w:val="nil"/>
              <w:bottom w:val="single" w:color="auto" w:sz="4" w:space="0"/>
              <w:right w:val="single" w:color="auto" w:sz="4" w:space="0"/>
            </w:tcBorders>
          </w:tcPr>
          <w:p>
            <w:pPr>
              <w:spacing w:line="360" w:lineRule="auto"/>
              <w:rPr>
                <w:rFonts w:ascii="仿宋" w:hAnsi="仿宋" w:eastAsia="仿宋"/>
                <w:color w:val="auto"/>
                <w:highlight w:val="none"/>
              </w:rPr>
            </w:pPr>
            <w:r>
              <w:rPr>
                <w:rFonts w:hint="eastAsia" w:ascii="仿宋" w:hAnsi="仿宋" w:eastAsia="仿宋"/>
                <w:color w:val="auto"/>
                <w:kern w:val="0"/>
                <w:highlight w:val="none"/>
              </w:rPr>
              <w:t>磋商供应商有效的营业执照</w:t>
            </w:r>
            <w:r>
              <w:rPr>
                <w:rFonts w:hint="eastAsia" w:ascii="仿宋" w:hAnsi="仿宋" w:eastAsia="仿宋"/>
                <w:color w:val="auto"/>
                <w:kern w:val="0"/>
                <w:highlight w:val="none"/>
                <w:lang w:eastAsia="zh-CN"/>
              </w:rPr>
              <w:t>或事业单位法人证书</w:t>
            </w:r>
            <w:r>
              <w:rPr>
                <w:rFonts w:hint="eastAsia" w:ascii="仿宋" w:hAnsi="仿宋" w:eastAsia="仿宋"/>
                <w:color w:val="auto"/>
                <w:kern w:val="0"/>
                <w:highlight w:val="none"/>
              </w:rPr>
              <w:t>（副本）</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r>
              <w:rPr>
                <w:rFonts w:hint="eastAsia" w:ascii="仿宋" w:hAnsi="仿宋" w:eastAsia="仿宋"/>
                <w:color w:val="auto"/>
                <w:kern w:val="0"/>
                <w:highlight w:val="none"/>
              </w:rPr>
              <w:t>　</w:t>
            </w: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3</w:t>
            </w:r>
          </w:p>
        </w:tc>
        <w:tc>
          <w:tcPr>
            <w:tcW w:w="6160"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highlight w:val="none"/>
              </w:rPr>
            </w:pPr>
            <w:r>
              <w:rPr>
                <w:rFonts w:hint="eastAsia" w:ascii="仿宋" w:hAnsi="仿宋" w:eastAsia="仿宋"/>
                <w:color w:val="auto"/>
                <w:highlight w:val="none"/>
              </w:rPr>
              <w:t>具有良好的商业信誉和健全的财务会计制度【提供上一年度的财务状况报告（成立不满一年不需提供）】</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4</w:t>
            </w:r>
          </w:p>
        </w:tc>
        <w:tc>
          <w:tcPr>
            <w:tcW w:w="6160"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highlight w:val="none"/>
              </w:rPr>
            </w:pPr>
            <w:r>
              <w:rPr>
                <w:rFonts w:hint="eastAsia" w:ascii="仿宋" w:hAnsi="仿宋" w:eastAsia="仿宋"/>
                <w:color w:val="auto"/>
                <w:highlight w:val="none"/>
              </w:rPr>
              <w:t>具有履行合同所必需的设备和专业技术能力（提供承诺函，按第七章后附格式）；</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5</w:t>
            </w:r>
          </w:p>
        </w:tc>
        <w:tc>
          <w:tcPr>
            <w:tcW w:w="6160"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highlight w:val="none"/>
              </w:rPr>
            </w:pPr>
            <w:r>
              <w:rPr>
                <w:rFonts w:hint="eastAsia" w:ascii="仿宋" w:hAnsi="仿宋" w:eastAsia="仿宋"/>
                <w:color w:val="auto"/>
                <w:highlight w:val="none"/>
              </w:rPr>
              <w:t>有依法缴纳税收和社会保障资金的良好记录（提供最近的依法缴纳税收和社会保障资金的相关材料）；</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6</w:t>
            </w:r>
          </w:p>
        </w:tc>
        <w:tc>
          <w:tcPr>
            <w:tcW w:w="6160" w:type="dxa"/>
            <w:tcBorders>
              <w:top w:val="single" w:color="auto" w:sz="4" w:space="0"/>
              <w:left w:val="nil"/>
              <w:bottom w:val="single" w:color="auto" w:sz="4" w:space="0"/>
              <w:right w:val="single" w:color="auto" w:sz="4" w:space="0"/>
            </w:tcBorders>
          </w:tcPr>
          <w:p>
            <w:pPr>
              <w:snapToGrid w:val="0"/>
              <w:spacing w:line="320" w:lineRule="exact"/>
              <w:rPr>
                <w:rFonts w:ascii="仿宋" w:hAnsi="仿宋" w:eastAsia="仿宋"/>
                <w:color w:val="auto"/>
                <w:highlight w:val="none"/>
              </w:rPr>
            </w:pPr>
            <w:r>
              <w:rPr>
                <w:rFonts w:hint="eastAsia" w:ascii="仿宋" w:hAnsi="仿宋" w:eastAsia="仿宋"/>
                <w:color w:val="auto"/>
                <w:highlight w:val="none"/>
              </w:rPr>
              <w:t>提供参加本项目政府采购活动前3年内在经营活动中没有重大违法记录的书面声明（按第七章后附格式）</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p>
        </w:tc>
      </w:tr>
      <w:tr>
        <w:tblPrEx>
          <w:tblCellMar>
            <w:top w:w="0" w:type="dxa"/>
            <w:left w:w="108" w:type="dxa"/>
            <w:bottom w:w="0" w:type="dxa"/>
            <w:right w:w="108" w:type="dxa"/>
          </w:tblCellMar>
        </w:tblPrEx>
        <w:trPr>
          <w:trHeight w:val="718"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7</w:t>
            </w:r>
          </w:p>
        </w:tc>
        <w:tc>
          <w:tcPr>
            <w:tcW w:w="616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olor w:val="auto"/>
                <w:kern w:val="0"/>
                <w:highlight w:val="none"/>
              </w:rPr>
            </w:pPr>
            <w:r>
              <w:rPr>
                <w:rFonts w:hint="eastAsia" w:ascii="仿宋" w:hAnsi="仿宋" w:eastAsia="仿宋"/>
                <w:color w:val="auto"/>
                <w:highlight w:val="none"/>
              </w:rPr>
              <w:t>供应商响应文件函（按磋商文件第七章后附格式）</w:t>
            </w:r>
          </w:p>
        </w:tc>
        <w:tc>
          <w:tcPr>
            <w:tcW w:w="2309"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auto"/>
                <w:kern w:val="0"/>
                <w:highlight w:val="none"/>
              </w:rPr>
            </w:pPr>
          </w:p>
        </w:tc>
      </w:tr>
      <w:tr>
        <w:tblPrEx>
          <w:tblCellMar>
            <w:top w:w="0" w:type="dxa"/>
            <w:left w:w="108" w:type="dxa"/>
            <w:bottom w:w="0" w:type="dxa"/>
            <w:right w:w="108" w:type="dxa"/>
          </w:tblCellMar>
        </w:tblPrEx>
        <w:trPr>
          <w:trHeight w:val="10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ascii="仿宋" w:hAnsi="仿宋" w:eastAsia="仿宋"/>
                <w:color w:val="auto"/>
                <w:kern w:val="0"/>
                <w:highlight w:val="none"/>
              </w:rPr>
            </w:pPr>
            <w:r>
              <w:rPr>
                <w:rFonts w:hint="eastAsia" w:ascii="仿宋" w:hAnsi="仿宋" w:eastAsia="仿宋"/>
                <w:color w:val="auto"/>
                <w:kern w:val="0"/>
                <w:highlight w:val="none"/>
              </w:rPr>
              <w:t>8</w:t>
            </w:r>
          </w:p>
        </w:tc>
        <w:tc>
          <w:tcPr>
            <w:tcW w:w="616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olor w:val="auto"/>
                <w:sz w:val="21"/>
                <w:szCs w:val="21"/>
                <w:highlight w:val="none"/>
              </w:rPr>
            </w:pPr>
            <w:r>
              <w:rPr>
                <w:rFonts w:hint="eastAsia" w:ascii="仿宋" w:hAnsi="仿宋" w:eastAsia="仿宋" w:cs="宋体"/>
                <w:color w:val="auto"/>
                <w:kern w:val="0"/>
                <w:sz w:val="22"/>
                <w:szCs w:val="22"/>
                <w:highlight w:val="none"/>
              </w:rPr>
              <w:t>响应供应商未被“信用中国”网站（www.creditchina.gov.cn）、中国政府采购网（www.ccgp.gov.cn）列入失信被执行人、重大税收违法案件当事人名单、政府采购严重失信行为记录名单；为确保政府采购守法供应商公平参加政府采购活动，采购代理机构将在开标开始后一个小时内，通过信用中国网站和中国政府采购网对供应商信用信息进行查询查证，并将查询记录截屏打印保存在采购档案内。</w:t>
            </w:r>
          </w:p>
        </w:tc>
        <w:tc>
          <w:tcPr>
            <w:tcW w:w="2309"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auto"/>
                <w:kern w:val="0"/>
                <w:highlight w:val="none"/>
              </w:rPr>
            </w:pPr>
          </w:p>
        </w:tc>
      </w:tr>
      <w:tr>
        <w:tblPrEx>
          <w:tblCellMar>
            <w:top w:w="0" w:type="dxa"/>
            <w:left w:w="108" w:type="dxa"/>
            <w:bottom w:w="0" w:type="dxa"/>
            <w:right w:w="108" w:type="dxa"/>
          </w:tblCellMar>
        </w:tblPrEx>
        <w:trPr>
          <w:trHeight w:val="700"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hint="eastAsia" w:ascii="仿宋" w:hAnsi="仿宋" w:eastAsia="仿宋"/>
                <w:color w:val="auto"/>
                <w:kern w:val="0"/>
                <w:highlight w:val="none"/>
                <w:lang w:eastAsia="zh-CN"/>
              </w:rPr>
            </w:pPr>
            <w:r>
              <w:rPr>
                <w:rFonts w:hint="eastAsia" w:ascii="仿宋" w:hAnsi="仿宋" w:eastAsia="仿宋"/>
                <w:color w:val="auto"/>
                <w:kern w:val="0"/>
                <w:highlight w:val="none"/>
                <w:lang w:val="en-US" w:eastAsia="zh-CN"/>
              </w:rPr>
              <w:t>9</w:t>
            </w:r>
          </w:p>
        </w:tc>
        <w:tc>
          <w:tcPr>
            <w:tcW w:w="6160" w:type="dxa"/>
            <w:tcBorders>
              <w:top w:val="single" w:color="auto" w:sz="4" w:space="0"/>
              <w:left w:val="nil"/>
              <w:bottom w:val="single" w:color="auto" w:sz="4" w:space="0"/>
              <w:right w:val="single" w:color="auto" w:sz="4" w:space="0"/>
            </w:tcBorders>
            <w:vAlign w:val="center"/>
          </w:tcPr>
          <w:p>
            <w:pPr>
              <w:widowControl/>
              <w:jc w:val="both"/>
              <w:rPr>
                <w:rFonts w:ascii="仿宋" w:hAnsi="仿宋" w:eastAsia="仿宋"/>
                <w:color w:val="auto"/>
                <w:kern w:val="0"/>
                <w:sz w:val="21"/>
                <w:szCs w:val="21"/>
                <w:highlight w:val="none"/>
              </w:rPr>
            </w:pPr>
            <w:r>
              <w:rPr>
                <w:rFonts w:hint="eastAsia" w:ascii="仿宋" w:hAnsi="仿宋" w:eastAsia="仿宋"/>
                <w:color w:val="auto"/>
                <w:sz w:val="21"/>
                <w:szCs w:val="21"/>
                <w:highlight w:val="none"/>
              </w:rPr>
              <w:t>磋商供应商认为其他必要的材料</w:t>
            </w:r>
          </w:p>
        </w:tc>
        <w:tc>
          <w:tcPr>
            <w:tcW w:w="23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olor w:val="auto"/>
                <w:kern w:val="0"/>
                <w:highlight w:val="none"/>
              </w:rPr>
            </w:pPr>
          </w:p>
        </w:tc>
      </w:tr>
    </w:tbl>
    <w:p>
      <w:pPr>
        <w:autoSpaceDE w:val="0"/>
        <w:autoSpaceDN w:val="0"/>
        <w:adjustRightInd w:val="0"/>
        <w:spacing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法定代表人或其委托人签字：</w:t>
      </w:r>
    </w:p>
    <w:p>
      <w:pPr>
        <w:autoSpaceDE w:val="0"/>
        <w:autoSpaceDN w:val="0"/>
        <w:adjustRightInd w:val="0"/>
        <w:spacing w:line="360" w:lineRule="auto"/>
        <w:ind w:firstLine="359" w:firstLineChars="14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磋商供应商盖章：</w:t>
      </w:r>
    </w:p>
    <w:p>
      <w:pPr>
        <w:autoSpaceDE w:val="0"/>
        <w:autoSpaceDN w:val="0"/>
        <w:adjustRightInd w:val="0"/>
        <w:spacing w:line="360" w:lineRule="auto"/>
        <w:ind w:firstLine="361" w:firstLineChars="15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注：以上表格由磋商供应商填写。</w:t>
      </w:r>
    </w:p>
    <w:p>
      <w:pPr>
        <w:pStyle w:val="2"/>
        <w:rPr>
          <w:rFonts w:hint="eastAsia" w:ascii="仿宋" w:hAnsi="仿宋" w:eastAsia="仿宋"/>
          <w:color w:val="auto"/>
          <w:highlight w:val="none"/>
        </w:rPr>
      </w:pPr>
      <w:r>
        <w:rPr>
          <w:rFonts w:hint="eastAsia" w:ascii="仿宋" w:hAnsi="仿宋" w:eastAsia="仿宋"/>
          <w:color w:val="auto"/>
          <w:highlight w:val="none"/>
        </w:rPr>
        <w:t xml:space="preserve"> </w:t>
      </w:r>
    </w:p>
    <w:p>
      <w:pP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br w:type="page"/>
      </w:r>
    </w:p>
    <w:p>
      <w:pPr>
        <w:snapToGrid w:val="0"/>
        <w:spacing w:line="360" w:lineRule="auto"/>
        <w:jc w:val="center"/>
        <w:outlineLvl w:val="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1、法定代表人身份证明</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u w:val="single"/>
        </w:rPr>
        <w:t>（采购人）</w:t>
      </w:r>
      <w:r>
        <w:rPr>
          <w:rFonts w:hint="eastAsia" w:ascii="仿宋" w:hAnsi="仿宋" w:eastAsia="仿宋"/>
          <w:color w:val="auto"/>
          <w:sz w:val="24"/>
          <w:szCs w:val="24"/>
          <w:highlight w:val="none"/>
        </w:rPr>
        <w:t>：</w:t>
      </w:r>
    </w:p>
    <w:p>
      <w:pPr>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我公司法定代表人参加贵单位组织的（采购项目名称及项目编号)项目公开招标采购活动，全权代表我公司处理投标的有关事宜。</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附：法定代表人情况：</w:t>
      </w:r>
    </w:p>
    <w:p>
      <w:pPr>
        <w:snapToGrid w:val="0"/>
        <w:spacing w:line="360" w:lineRule="auto"/>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姓名：性别：年龄：职务：</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身份证号码：</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手机：传真：</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单位名称（公章）法定代表人（签字）</w:t>
      </w:r>
    </w:p>
    <w:p>
      <w:pPr>
        <w:snapToGrid w:val="0"/>
        <w:spacing w:line="360" w:lineRule="auto"/>
        <w:ind w:firstLine="1200" w:firstLineChars="5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年月日年月日</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法定代表人身份证复印件正反两面</w:t>
      </w:r>
    </w:p>
    <w:p>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ind w:firstLine="2280" w:firstLineChars="9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（粘贴此处）</w:t>
      </w:r>
    </w:p>
    <w:p>
      <w:pPr>
        <w:snapToGrid w:val="0"/>
        <w:spacing w:line="360" w:lineRule="auto"/>
        <w:ind w:firstLine="2280" w:firstLineChars="9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ind w:firstLine="2280" w:firstLineChars="9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jc w:val="center"/>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 xml:space="preserve"> </w:t>
      </w:r>
    </w:p>
    <w:p>
      <w:pPr>
        <w:snapToGrid w:val="0"/>
        <w:spacing w:line="360" w:lineRule="auto"/>
        <w:rPr>
          <w:rFonts w:hint="eastAsia" w:ascii="仿宋" w:hAnsi="仿宋" w:eastAsia="仿宋"/>
          <w:b/>
          <w:bCs/>
          <w:color w:val="auto"/>
          <w:sz w:val="23"/>
          <w:szCs w:val="23"/>
          <w:highlight w:val="none"/>
        </w:rPr>
      </w:pPr>
      <w:r>
        <w:rPr>
          <w:rFonts w:hint="eastAsia" w:ascii="仿宋" w:hAnsi="仿宋" w:eastAsia="仿宋"/>
          <w:b/>
          <w:bCs/>
          <w:color w:val="auto"/>
          <w:sz w:val="23"/>
          <w:szCs w:val="23"/>
          <w:highlight w:val="none"/>
        </w:rPr>
        <w:t>注:参加投标时法定代表人将身份证原件带至开标现场备查</w:t>
      </w:r>
    </w:p>
    <w:p>
      <w:pPr>
        <w:snapToGrid w:val="0"/>
        <w:spacing w:line="360" w:lineRule="auto"/>
        <w:jc w:val="center"/>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 xml:space="preserve"> </w:t>
      </w:r>
    </w:p>
    <w:p>
      <w:pPr>
        <w:snapToGrid w:val="0"/>
        <w:spacing w:line="360" w:lineRule="auto"/>
        <w:jc w:val="center"/>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 xml:space="preserve"> </w:t>
      </w:r>
    </w:p>
    <w:p>
      <w:pPr>
        <w:widowControl/>
        <w:spacing w:line="360" w:lineRule="auto"/>
        <w:jc w:val="left"/>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br w:type="page"/>
      </w:r>
    </w:p>
    <w:p>
      <w:pPr>
        <w:snapToGrid w:val="0"/>
        <w:spacing w:line="360" w:lineRule="auto"/>
        <w:ind w:firstLine="2811" w:firstLineChars="1000"/>
        <w:outlineLvl w:val="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2、法定代表人授权委托书</w:t>
      </w:r>
    </w:p>
    <w:p>
      <w:pPr>
        <w:spacing w:line="360" w:lineRule="auto"/>
        <w:ind w:firstLine="720" w:firstLineChars="3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本授权书声明：____________（供应商名称）授权________________（被授权人的姓名）为我方就项目采购活动的合法代理人，以本公司名义全权处理一切与该项目采购有关的事务。</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本授权书于______年____月____日起生效，特此声明。</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代理人（被授权人）：_______________________</w:t>
      </w:r>
    </w:p>
    <w:p>
      <w:pPr>
        <w:pStyle w:val="2"/>
        <w:spacing w:line="360" w:lineRule="auto"/>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代理人电话手机号码：</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单位名称：_____________________________________</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授权单位盖章：_________________________________</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法定代表人（签字或盖章）：_____________________________________</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地址：</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ind w:firstLine="321" w:firstLineChars="134"/>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注：提供被委托授权人的身份证复印件描件正反两面</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600" w:lineRule="exact"/>
        <w:rPr>
          <w:rFonts w:hint="eastAsia" w:ascii="仿宋" w:hAnsi="仿宋" w:eastAsia="仿宋"/>
          <w:b/>
          <w:bCs/>
          <w:color w:val="auto"/>
          <w:sz w:val="23"/>
          <w:szCs w:val="23"/>
          <w:highlight w:val="none"/>
        </w:rPr>
      </w:pPr>
      <w:r>
        <w:rPr>
          <w:rFonts w:hint="eastAsia" w:ascii="仿宋" w:hAnsi="仿宋" w:eastAsia="仿宋"/>
          <w:b/>
          <w:bCs/>
          <w:color w:val="auto"/>
          <w:sz w:val="23"/>
          <w:szCs w:val="23"/>
          <w:highlight w:val="none"/>
        </w:rPr>
        <w:t>注:参加投标时授权代表将身份证原件带至开标现场备查。</w:t>
      </w:r>
    </w:p>
    <w:p>
      <w:pPr>
        <w:snapToGrid w:val="0"/>
        <w:spacing w:line="360" w:lineRule="auto"/>
        <w:jc w:val="center"/>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 xml:space="preserve"> </w:t>
      </w:r>
    </w:p>
    <w:p>
      <w:pPr>
        <w:snapToGrid w:val="0"/>
        <w:spacing w:line="360" w:lineRule="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 xml:space="preserve"> </w:t>
      </w:r>
    </w:p>
    <w:p>
      <w:pPr>
        <w:pStyle w:val="12"/>
        <w:spacing w:line="360" w:lineRule="auto"/>
        <w:ind w:firstLine="48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p>
    <w:p>
      <w:pPr>
        <w:snapToGrid w:val="0"/>
        <w:spacing w:line="360" w:lineRule="auto"/>
        <w:ind w:firstLine="1105" w:firstLineChars="393"/>
        <w:jc w:val="center"/>
        <w:outlineLvl w:val="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3、供应商响应文件函</w:t>
      </w:r>
    </w:p>
    <w:p>
      <w:pPr>
        <w:snapToGrid w:val="0"/>
        <w:spacing w:line="360" w:lineRule="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致：</w:t>
      </w:r>
    </w:p>
    <w:p>
      <w:pPr>
        <w:snapToGrid w:val="0"/>
        <w:spacing w:line="360" w:lineRule="auto"/>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根据贵方的号磋商文件，正式授权下述签字人_________ (姓名和职务)代表我方______________（供应商的名称），全权处理本次项目磋商采购的有关事宜。据此函，__________（签字人）兹宣布同意如下：</w:t>
      </w:r>
    </w:p>
    <w:p>
      <w:pPr>
        <w:snapToGrid w:val="0"/>
        <w:spacing w:line="360" w:lineRule="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（1）按磋商文件规定的各项要求，向买方提供所需服务</w:t>
      </w:r>
    </w:p>
    <w:p>
      <w:pPr>
        <w:snapToGrid w:val="0"/>
        <w:spacing w:line="360" w:lineRule="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（2）我们已详细审核全部磋商文件及其有效补充文件，我们知道必须放弃提出含糊不清或误解问题的权利。</w:t>
      </w:r>
    </w:p>
    <w:p>
      <w:pPr>
        <w:snapToGrid w:val="0"/>
        <w:spacing w:line="360" w:lineRule="auto"/>
        <w:outlineLvl w:val="9"/>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（3）我们同意从规定的响应文件接收截止时间起遵循本响应文件，并在规定的磋商有效期期满之前均具有约束力。</w:t>
      </w:r>
    </w:p>
    <w:p>
      <w:pPr>
        <w:snapToGrid w:val="0"/>
        <w:spacing w:line="360" w:lineRule="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（4）同意向贵方提供贵方可能另外要求的与磋商采购有关的任何证据或资料，并保证我方已提供和将要提供的文件是真实的、准确的。</w:t>
      </w:r>
    </w:p>
    <w:p>
      <w:pPr>
        <w:snapToGrid w:val="0"/>
        <w:spacing w:line="360" w:lineRule="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（5）一旦我方成交，我方将根据磋商文件的规定，严格履行合同的责任和义务，并保证在磋商文件规定的时间完成项目，交付买方验收、使用。</w:t>
      </w:r>
    </w:p>
    <w:p>
      <w:pPr>
        <w:snapToGrid w:val="0"/>
        <w:spacing w:line="360" w:lineRule="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（6）遵守磋商文件中要求的收费项目和标准。</w:t>
      </w:r>
    </w:p>
    <w:p>
      <w:pPr>
        <w:snapToGrid w:val="0"/>
        <w:spacing w:line="360" w:lineRule="auto"/>
        <w:outlineLvl w:val="9"/>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（7）与本磋商采购有关的正式通讯地址为：</w:t>
      </w:r>
    </w:p>
    <w:p>
      <w:pPr>
        <w:spacing w:line="360" w:lineRule="auto"/>
        <w:outlineLvl w:val="9"/>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地址：邮编：</w:t>
      </w:r>
    </w:p>
    <w:p>
      <w:pPr>
        <w:spacing w:line="360" w:lineRule="auto"/>
        <w:outlineLvl w:val="9"/>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电话：传真：</w:t>
      </w:r>
    </w:p>
    <w:p>
      <w:pPr>
        <w:spacing w:line="360" w:lineRule="auto"/>
        <w:outlineLvl w:val="9"/>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供应商开户行：账户：</w:t>
      </w:r>
    </w:p>
    <w:p>
      <w:pPr>
        <w:spacing w:line="360" w:lineRule="auto"/>
        <w:outlineLvl w:val="9"/>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法定代表人或授权代表姓名（签字）：联系电话：</w:t>
      </w:r>
    </w:p>
    <w:p>
      <w:pPr>
        <w:spacing w:line="360" w:lineRule="auto"/>
        <w:outlineLvl w:val="9"/>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供应商名称（公章）：日期：________年____月____日</w:t>
      </w:r>
    </w:p>
    <w:p>
      <w:pPr>
        <w:widowControl/>
        <w:jc w:val="left"/>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br w:type="page"/>
      </w:r>
    </w:p>
    <w:p>
      <w:pPr>
        <w:snapToGrid w:val="0"/>
        <w:spacing w:line="360" w:lineRule="auto"/>
        <w:ind w:firstLine="1105" w:firstLineChars="393"/>
        <w:jc w:val="center"/>
        <w:outlineLvl w:val="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4、履行合同所必需的设备和专业技术能力承诺函</w:t>
      </w:r>
    </w:p>
    <w:p>
      <w:p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u w:val="single"/>
        </w:rPr>
        <w:t>（采购人）</w:t>
      </w:r>
      <w:r>
        <w:rPr>
          <w:rFonts w:hint="eastAsia" w:ascii="仿宋" w:hAnsi="仿宋" w:eastAsia="仿宋"/>
          <w:color w:val="auto"/>
          <w:sz w:val="28"/>
          <w:szCs w:val="28"/>
          <w:highlight w:val="none"/>
        </w:rPr>
        <w:t>：</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我单位（供应商名称）郑重承诺：</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贵方组织的(项目名称），(项目编号），我单位(在下划线上如实填写：有或没有）</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履行合同所必需的设备和专业技术能力。</w:t>
      </w:r>
    </w:p>
    <w:p>
      <w:pPr>
        <w:ind w:firstLine="56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承诺人：（公章）</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年月日</w:t>
      </w:r>
    </w:p>
    <w:p>
      <w:pPr>
        <w:jc w:val="center"/>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t xml:space="preserve"> </w:t>
      </w:r>
    </w:p>
    <w:p>
      <w:pPr>
        <w:rPr>
          <w:rFonts w:hint="eastAsia" w:ascii="仿宋" w:hAnsi="仿宋" w:eastAsia="仿宋"/>
          <w:color w:val="auto"/>
          <w:highlight w:val="none"/>
        </w:rPr>
      </w:pPr>
      <w:r>
        <w:rPr>
          <w:rFonts w:hint="eastAsia" w:ascii="仿宋" w:hAnsi="仿宋" w:eastAsia="仿宋"/>
          <w:color w:val="auto"/>
          <w:highlight w:val="none"/>
        </w:rPr>
        <w:t xml:space="preserve"> </w:t>
      </w:r>
    </w:p>
    <w:p>
      <w:pPr>
        <w:snapToGrid w:val="0"/>
        <w:spacing w:line="360" w:lineRule="auto"/>
        <w:ind w:left="0" w:leftChars="0" w:firstLine="0" w:firstLineChars="0"/>
        <w:jc w:val="center"/>
        <w:outlineLvl w:val="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5、无重大违法记录的书面声明</w:t>
      </w:r>
    </w:p>
    <w:p>
      <w:pPr>
        <w:jc w:val="center"/>
        <w:rPr>
          <w:rFonts w:hint="eastAsia" w:ascii="仿宋" w:hAnsi="仿宋" w:eastAsia="仿宋"/>
          <w:b/>
          <w:bCs/>
          <w:color w:val="auto"/>
          <w:sz w:val="44"/>
          <w:szCs w:val="44"/>
          <w:highlight w:val="none"/>
        </w:rPr>
      </w:pPr>
      <w:r>
        <w:rPr>
          <w:rFonts w:hint="eastAsia" w:ascii="仿宋" w:hAnsi="仿宋" w:eastAsia="仿宋"/>
          <w:b/>
          <w:bCs/>
          <w:color w:val="auto"/>
          <w:sz w:val="44"/>
          <w:szCs w:val="44"/>
          <w:highlight w:val="none"/>
        </w:rPr>
        <w:t xml:space="preserve"> </w:t>
      </w:r>
    </w:p>
    <w:p>
      <w:p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u w:val="single"/>
        </w:rPr>
        <w:t>（采购人）</w:t>
      </w:r>
      <w:r>
        <w:rPr>
          <w:rFonts w:hint="eastAsia" w:ascii="仿宋" w:hAnsi="仿宋" w:eastAsia="仿宋"/>
          <w:color w:val="auto"/>
          <w:sz w:val="28"/>
          <w:szCs w:val="28"/>
          <w:highlight w:val="none"/>
        </w:rPr>
        <w:t>：</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我单位（供应商名称）郑重声明：</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参加本项目政府采购活动前3年内在经营活动中(在下划线上如实填写：有或没有）重大违法记录。</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ind w:firstLine="56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声明人：（公章）</w:t>
      </w:r>
    </w:p>
    <w:p>
      <w:pPr>
        <w:ind w:firstLine="56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年    月   日</w:t>
      </w:r>
    </w:p>
    <w:p>
      <w:pPr>
        <w:pStyle w:val="5"/>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6、资格证明材料所含内容的所有复印件（加盖公章）</w:t>
      </w:r>
    </w:p>
    <w:p>
      <w:pPr>
        <w:pStyle w:val="5"/>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7、响应供应商认为其他必要的材料</w:t>
      </w:r>
    </w:p>
    <w:p>
      <w:pPr>
        <w:widowControl/>
        <w:spacing w:line="36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p>
    <w:p>
      <w:pPr>
        <w:spacing w:line="360" w:lineRule="auto"/>
        <w:jc w:val="center"/>
        <w:outlineLvl w:val="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第二部分</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技术标主要内容（单独密封）</w:t>
      </w:r>
    </w:p>
    <w:p>
      <w:pPr>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pStyle w:val="29"/>
        <w:spacing w:line="360" w:lineRule="auto"/>
        <w:ind w:left="420" w:firstLine="0" w:firstLineChar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目录</w:t>
      </w:r>
    </w:p>
    <w:p>
      <w:pPr>
        <w:pStyle w:val="29"/>
        <w:spacing w:line="360" w:lineRule="auto"/>
        <w:ind w:left="420" w:firstLine="0" w:firstLineChar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技术标包（应包括但不限于以下内容。不得出现报价，否则为废标）：</w:t>
      </w:r>
    </w:p>
    <w:p>
      <w:pPr>
        <w:spacing w:line="360" w:lineRule="auto"/>
        <w:ind w:left="0" w:leftChars="0" w:firstLine="0" w:firstLineChars="0"/>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1、封面</w:t>
      </w:r>
    </w:p>
    <w:p>
      <w:pPr>
        <w:spacing w:line="360" w:lineRule="auto"/>
        <w:ind w:left="0" w:leftChars="0" w:firstLine="0" w:firstLineChars="0"/>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2、磋商响应函</w:t>
      </w:r>
    </w:p>
    <w:p>
      <w:pPr>
        <w:adjustRightInd w:val="0"/>
        <w:snapToGrid w:val="0"/>
        <w:spacing w:line="360" w:lineRule="auto"/>
        <w:ind w:left="0" w:leftChars="0" w:firstLine="0" w:firstLineChars="0"/>
        <w:jc w:val="left"/>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3、根据第六章“评标办法”2.2.2 条款技术标的评审因素及评审标准提供相关投标资料。</w:t>
      </w:r>
    </w:p>
    <w:p>
      <w:pPr>
        <w:pStyle w:val="2"/>
        <w:spacing w:line="360" w:lineRule="auto"/>
        <w:ind w:left="0" w:leftChars="0" w:firstLine="0" w:firstLineChars="0"/>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4、商务技术条款响应一览表</w:t>
      </w:r>
    </w:p>
    <w:p>
      <w:pPr>
        <w:pStyle w:val="2"/>
        <w:rPr>
          <w:rFonts w:hint="eastAsia" w:ascii="仿宋" w:hAnsi="仿宋" w:eastAsia="仿宋"/>
          <w:color w:val="auto"/>
          <w:highlight w:val="none"/>
        </w:rPr>
      </w:pPr>
      <w:r>
        <w:rPr>
          <w:rFonts w:hint="eastAsia" w:ascii="仿宋" w:hAnsi="仿宋" w:eastAsia="仿宋"/>
          <w:color w:val="auto"/>
          <w:highlight w:val="none"/>
        </w:rPr>
        <w:t xml:space="preserve"> </w:t>
      </w:r>
    </w:p>
    <w:p>
      <w:pPr>
        <w:adjustRightInd w:val="0"/>
        <w:snapToGrid w:val="0"/>
        <w:spacing w:line="360" w:lineRule="auto"/>
        <w:jc w:val="lef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注明：1、各投标单位根据本项目的技术标文件目录中的内容按顺序编制目录和页码范围（各条款的具体内容及要求请按照本磋商文件第六章“评标办法”2.2.2 条款技术标的评审因素及评审标准提供相关投标资料），技术标的以上条款中纸质所有证明材料材料或证书需提供复印件并加盖单位公章，同时以上条款中要求提供原件查验的，若原件未带或不符合等原因造成一切后果由投标单位承担。</w:t>
      </w:r>
    </w:p>
    <w:p>
      <w:pPr>
        <w:widowControl/>
        <w:shd w:val="clear" w:color="auto" w:fill="FFFFFF"/>
        <w:spacing w:line="360" w:lineRule="auto"/>
        <w:jc w:val="lef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 xml:space="preserve"> </w:t>
      </w:r>
    </w:p>
    <w:p>
      <w:pPr>
        <w:widowControl/>
        <w:shd w:val="clear" w:color="auto" w:fill="FFFFFF"/>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jc w:val="center"/>
        <w:outlineLvl w:val="2"/>
        <w:rPr>
          <w:rFonts w:hint="eastAsia" w:ascii="仿宋" w:hAnsi="仿宋" w:eastAsia="仿宋"/>
          <w:b/>
          <w:bCs/>
          <w:color w:val="auto"/>
          <w:sz w:val="28"/>
          <w:szCs w:val="28"/>
          <w:highlight w:val="none"/>
        </w:rPr>
      </w:pPr>
      <w:r>
        <w:rPr>
          <w:rFonts w:hint="eastAsia" w:ascii="仿宋" w:hAnsi="仿宋" w:eastAsia="仿宋"/>
          <w:color w:val="auto"/>
          <w:sz w:val="24"/>
          <w:szCs w:val="24"/>
          <w:highlight w:val="none"/>
        </w:rPr>
        <w:br w:type="page"/>
      </w:r>
      <w:r>
        <w:rPr>
          <w:rFonts w:hint="eastAsia" w:ascii="仿宋" w:hAnsi="仿宋" w:eastAsia="仿宋"/>
          <w:color w:val="auto"/>
          <w:highlight w:val="none"/>
        </w:rPr>
        <w:t>一、</w:t>
      </w:r>
      <w:r>
        <w:rPr>
          <w:rFonts w:hint="eastAsia" w:ascii="仿宋" w:hAnsi="仿宋" w:eastAsia="仿宋"/>
          <w:b/>
          <w:bCs/>
          <w:color w:val="auto"/>
          <w:sz w:val="28"/>
          <w:szCs w:val="28"/>
          <w:highlight w:val="none"/>
        </w:rPr>
        <w:t>磋商响应函</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2"/>
          <w:szCs w:val="22"/>
          <w:highlight w:val="none"/>
          <w:u w:val="single"/>
        </w:rPr>
        <w:t>（招标人）</w:t>
      </w:r>
      <w:r>
        <w:rPr>
          <w:rFonts w:hint="eastAsia" w:ascii="仿宋" w:hAnsi="仿宋" w:eastAsia="仿宋"/>
          <w:color w:val="auto"/>
          <w:sz w:val="24"/>
          <w:szCs w:val="24"/>
          <w:highlight w:val="none"/>
        </w:rPr>
        <w:t>：</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依据贵单位 （采购项目名称及项目编号)项目公开招标的邀请，我方授权（姓名）（职务）为全权代表参加该项目的投标，全权处理本次投标的有关事宜。同时，我公司声明如下：</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1、同意并接受磋商文件的各项要求，遵守磋商文件中的各项规定，按磋商文件的要求提供报价。</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2、我公司已经详细阅读了全部磋商文件及其附件，我方已完全清晰理解磋商文件的要求，不存在任何含糊不清和误解之处，同意放弃对这些文件所提出的异议和质疑的权利。</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3、我公司已毫无保留地向贵方提供一切所需的证明材料。</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4、我公司承诺在本次投标中提供的一切文件，无论是原件还是复印件均真实合法有效，绝无任何虚假、伪造和夸大的成份。否则，愿承担相应的后果和法律责任。</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5、我公司尊重评标委员会所作的评定结果，同时清楚理解到报价最低并非意味着必定获得成交资格。</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6、一旦我方成交,我方将根据磋商文件的要求和投标文件的承诺签订合同，严格履行合同的责任和义务,并保证在磋商文件规定的时间完成项目，交付采购单位验收、使用。</w:t>
      </w:r>
    </w:p>
    <w:p>
      <w:pPr>
        <w:spacing w:line="360" w:lineRule="auto"/>
        <w:ind w:firstLine="1960" w:firstLineChars="7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360" w:lineRule="auto"/>
        <w:ind w:firstLine="1680" w:firstLineChars="70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响应供应商：（加盖公章）</w:t>
      </w:r>
    </w:p>
    <w:p>
      <w:pPr>
        <w:spacing w:line="360" w:lineRule="auto"/>
        <w:ind w:firstLine="1680" w:firstLineChars="70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法定代表人或被授权人：（签字或盖章）</w:t>
      </w:r>
    </w:p>
    <w:p>
      <w:pPr>
        <w:spacing w:line="360" w:lineRule="auto"/>
        <w:ind w:firstLine="4320" w:firstLineChars="180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ind w:firstLine="4320" w:firstLineChars="180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年    月    日</w:t>
      </w:r>
    </w:p>
    <w:p>
      <w:pPr>
        <w:autoSpaceDE w:val="0"/>
        <w:autoSpaceDN w:val="0"/>
        <w:adjustRightInd w:val="0"/>
        <w:spacing w:line="360" w:lineRule="auto"/>
        <w:jc w:val="center"/>
        <w:rPr>
          <w:rFonts w:hint="eastAsia" w:ascii="仿宋" w:hAnsi="仿宋" w:eastAsia="仿宋"/>
          <w:color w:val="auto"/>
          <w:highlight w:val="none"/>
        </w:rPr>
      </w:pPr>
      <w:r>
        <w:rPr>
          <w:rFonts w:hint="eastAsia" w:ascii="仿宋" w:hAnsi="仿宋" w:eastAsia="仿宋"/>
          <w:color w:val="auto"/>
          <w:highlight w:val="none"/>
        </w:rPr>
        <w:t xml:space="preserve"> </w:t>
      </w:r>
    </w:p>
    <w:p>
      <w:pPr>
        <w:pStyle w:val="2"/>
        <w:spacing w:line="360" w:lineRule="auto"/>
        <w:ind w:firstLine="2800" w:firstLineChars="1000"/>
        <w:rPr>
          <w:rFonts w:hint="eastAsia" w:ascii="仿宋" w:hAnsi="仿宋" w:eastAsia="仿宋"/>
          <w:color w:val="auto"/>
          <w:highlight w:val="none"/>
        </w:rPr>
      </w:pPr>
      <w:r>
        <w:rPr>
          <w:rFonts w:hint="eastAsia" w:ascii="仿宋" w:hAnsi="仿宋" w:eastAsia="仿宋"/>
          <w:color w:val="auto"/>
          <w:highlight w:val="none"/>
        </w:rPr>
        <w:t xml:space="preserve"> </w:t>
      </w:r>
    </w:p>
    <w:p>
      <w:pPr>
        <w:pStyle w:val="2"/>
        <w:spacing w:line="360" w:lineRule="auto"/>
        <w:ind w:firstLine="2800" w:firstLineChars="1000"/>
        <w:rPr>
          <w:rFonts w:hint="eastAsia" w:ascii="仿宋" w:hAnsi="仿宋" w:eastAsia="仿宋"/>
          <w:color w:val="auto"/>
          <w:highlight w:val="none"/>
        </w:rPr>
      </w:pPr>
      <w:r>
        <w:rPr>
          <w:rFonts w:hint="eastAsia" w:ascii="仿宋" w:hAnsi="仿宋" w:eastAsia="仿宋"/>
          <w:color w:val="auto"/>
          <w:highlight w:val="none"/>
        </w:rPr>
        <w:t xml:space="preserve"> </w:t>
      </w:r>
    </w:p>
    <w:p>
      <w:pPr>
        <w:pStyle w:val="2"/>
        <w:spacing w:line="360" w:lineRule="auto"/>
        <w:ind w:firstLine="2800" w:firstLineChars="1000"/>
        <w:rPr>
          <w:rFonts w:hint="eastAsia" w:ascii="仿宋" w:hAnsi="仿宋" w:eastAsia="仿宋"/>
          <w:color w:val="auto"/>
          <w:highlight w:val="none"/>
        </w:rPr>
      </w:pPr>
      <w:r>
        <w:rPr>
          <w:rFonts w:hint="eastAsia" w:ascii="仿宋" w:hAnsi="仿宋" w:eastAsia="仿宋"/>
          <w:color w:val="auto"/>
          <w:highlight w:val="none"/>
        </w:rPr>
        <w:t xml:space="preserve"> </w:t>
      </w:r>
    </w:p>
    <w:p>
      <w:pPr>
        <w:pStyle w:val="2"/>
        <w:spacing w:line="360" w:lineRule="auto"/>
        <w:ind w:firstLine="2800" w:firstLineChars="1000"/>
        <w:outlineLvl w:val="2"/>
        <w:rPr>
          <w:rFonts w:hint="eastAsia" w:ascii="仿宋" w:hAnsi="仿宋" w:eastAsia="仿宋"/>
          <w:color w:val="auto"/>
          <w:highlight w:val="none"/>
        </w:rPr>
      </w:pPr>
      <w:r>
        <w:rPr>
          <w:rFonts w:hint="eastAsia" w:ascii="仿宋" w:hAnsi="仿宋" w:eastAsia="仿宋"/>
          <w:color w:val="auto"/>
          <w:highlight w:val="none"/>
        </w:rPr>
        <w:t>二、商务技术条款响应一览表</w:t>
      </w:r>
    </w:p>
    <w:p>
      <w:pPr>
        <w:pStyle w:val="2"/>
        <w:spacing w:line="360" w:lineRule="auto"/>
        <w:jc w:val="lef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项目编号：</w:t>
      </w:r>
    </w:p>
    <w:tbl>
      <w:tblPr>
        <w:tblStyle w:val="13"/>
        <w:tblW w:w="967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276"/>
        <w:gridCol w:w="2268"/>
        <w:gridCol w:w="2268"/>
        <w:gridCol w:w="162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序号</w:t>
            </w:r>
          </w:p>
        </w:tc>
        <w:tc>
          <w:tcPr>
            <w:tcW w:w="1276" w:type="dxa"/>
            <w:tcBorders>
              <w:top w:val="single" w:color="auto" w:sz="4" w:space="0"/>
              <w:left w:val="nil"/>
              <w:bottom w:val="single" w:color="auto" w:sz="4" w:space="0"/>
              <w:right w:val="single" w:color="auto" w:sz="4" w:space="0"/>
            </w:tcBorders>
            <w:vAlign w:val="center"/>
          </w:tcPr>
          <w:p>
            <w:pPr>
              <w:spacing w:line="360" w:lineRule="auto"/>
              <w:ind w:left="31" w:leftChars="15"/>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项目名称</w:t>
            </w: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磋商文件的技术商务条款</w:t>
            </w: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响应文件承诺的技术商务条款</w:t>
            </w: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偏离情况</w:t>
            </w: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adjustRightInd w:val="0"/>
              <w:spacing w:line="360" w:lineRule="auto"/>
              <w:ind w:right="-2" w:rightChars="-1" w:firstLine="480" w:firstLineChars="200"/>
              <w:rPr>
                <w:rFonts w:ascii="仿宋" w:hAnsi="仿宋" w:eastAsia="仿宋"/>
                <w:b/>
                <w:bCs/>
                <w:color w:val="auto"/>
                <w:spacing w:val="-12"/>
                <w:sz w:val="24"/>
                <w:szCs w:val="24"/>
                <w:highlight w:val="none"/>
              </w:rPr>
            </w:pPr>
            <w:r>
              <w:rPr>
                <w:rFonts w:hint="eastAsia" w:ascii="宋体" w:hAnsi="宋体" w:cs="宋体"/>
                <w:color w:val="auto"/>
                <w:sz w:val="24"/>
                <w:szCs w:val="24"/>
                <w:highlight w:val="none"/>
              </w:rPr>
              <w:t> </w:t>
            </w: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adjustRightInd w:val="0"/>
              <w:spacing w:line="360" w:lineRule="auto"/>
              <w:ind w:right="-2" w:rightChars="-1" w:firstLine="480" w:firstLineChars="200"/>
              <w:rPr>
                <w:rFonts w:ascii="仿宋" w:hAnsi="仿宋" w:eastAsia="仿宋"/>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r>
              <w:rPr>
                <w:rFonts w:hint="eastAsia" w:ascii="宋体" w:hAnsi="宋体" w:cs="宋体"/>
                <w:b/>
                <w:bCs/>
                <w:color w:val="auto"/>
                <w:sz w:val="24"/>
                <w:szCs w:val="24"/>
                <w:highlight w:val="none"/>
              </w:rPr>
              <w:t> </w:t>
            </w:r>
          </w:p>
        </w:tc>
        <w:tc>
          <w:tcPr>
            <w:tcW w:w="2268" w:type="dxa"/>
            <w:tcBorders>
              <w:top w:val="single" w:color="auto" w:sz="4" w:space="0"/>
              <w:left w:val="nil"/>
              <w:bottom w:val="single" w:color="auto" w:sz="4" w:space="0"/>
              <w:right w:val="single" w:color="auto" w:sz="4" w:space="0"/>
            </w:tcBorders>
            <w:vAlign w:val="center"/>
          </w:tcPr>
          <w:p>
            <w:pPr>
              <w:adjustRightInd w:val="0"/>
              <w:spacing w:line="360" w:lineRule="auto"/>
              <w:ind w:right="-2" w:rightChars="-1" w:firstLine="480" w:firstLineChars="200"/>
              <w:rPr>
                <w:rFonts w:ascii="仿宋" w:hAnsi="仿宋" w:eastAsia="仿宋"/>
                <w:b/>
                <w:bCs/>
                <w:color w:val="auto"/>
                <w:spacing w:val="-12"/>
                <w:sz w:val="24"/>
                <w:szCs w:val="24"/>
                <w:highlight w:val="none"/>
              </w:rPr>
            </w:pPr>
            <w:r>
              <w:rPr>
                <w:rFonts w:hint="eastAsia" w:ascii="宋体" w:hAnsi="宋体" w:cs="宋体"/>
                <w:color w:val="auto"/>
                <w:sz w:val="24"/>
                <w:szCs w:val="24"/>
                <w:highlight w:val="none"/>
              </w:rPr>
              <w:t> </w:t>
            </w: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adjustRightInd w:val="0"/>
              <w:spacing w:line="360" w:lineRule="auto"/>
              <w:ind w:right="-2" w:rightChars="-1" w:firstLine="480" w:firstLineChars="200"/>
              <w:rPr>
                <w:rFonts w:ascii="仿宋" w:hAnsi="仿宋" w:eastAsia="仿宋"/>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adjustRightInd w:val="0"/>
              <w:spacing w:line="360" w:lineRule="auto"/>
              <w:ind w:right="-2" w:rightChars="-1" w:firstLine="480" w:firstLineChars="200"/>
              <w:rPr>
                <w:rFonts w:ascii="仿宋" w:hAnsi="仿宋" w:eastAsia="仿宋"/>
                <w:color w:val="auto"/>
                <w:sz w:val="24"/>
                <w:szCs w:val="24"/>
                <w:highlight w:val="none"/>
              </w:rPr>
            </w:pPr>
          </w:p>
        </w:tc>
        <w:tc>
          <w:tcPr>
            <w:tcW w:w="226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bCs/>
                <w:color w:val="auto"/>
                <w:sz w:val="24"/>
                <w:szCs w:val="24"/>
                <w:highlight w:val="none"/>
              </w:rPr>
            </w:pPr>
          </w:p>
        </w:tc>
      </w:tr>
    </w:tbl>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1、请逐条对应本项目磋商文件第六章“磋商内容及要求”中技术商务条款的要求，认真填写该表。</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若磋商供应商有技术、商务偏离，应将磋商文件要求和供应商响应文件文件承诺逐条对应的填列在偏离表中，否则将认为磋商供应商未响应磋商文件的要求。若磋商供应商完全响应磋商文件所有技术、商务要求，则无需逐条列出技术商务条款，只需在“偏离情况”一栏中注明“无偏离，完全响应磋商文件所有要求”，</w:t>
      </w:r>
    </w:p>
    <w:p>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3、本表如有多页，应逐页加盖公章。</w:t>
      </w:r>
    </w:p>
    <w:p>
      <w:pPr>
        <w:pStyle w:val="2"/>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pStyle w:val="2"/>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磋商供应商（全称并加盖公章）：</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磋商供应商授权代表签字：</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outlineLvl w:val="2"/>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三、技术标其他格式自拟</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napToGrid w:val="0"/>
        <w:spacing w:line="360" w:lineRule="auto"/>
        <w:ind w:firstLine="960" w:firstLineChars="400"/>
        <w:jc w:val="center"/>
        <w:outlineLvl w:val="1"/>
        <w:rPr>
          <w:rFonts w:hint="eastAsia" w:ascii="仿宋" w:hAnsi="仿宋" w:eastAsia="仿宋"/>
          <w:color w:val="auto"/>
          <w:sz w:val="28"/>
          <w:szCs w:val="28"/>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8"/>
          <w:szCs w:val="28"/>
          <w:highlight w:val="none"/>
        </w:rPr>
        <w:t>第三部分</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报价标文件（单独密封）</w:t>
      </w:r>
    </w:p>
    <w:p>
      <w:pPr>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jc w:val="center"/>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目录</w:t>
      </w:r>
    </w:p>
    <w:p>
      <w:pPr>
        <w:spacing w:line="360" w:lineRule="auto"/>
        <w:ind w:left="6" w:leftChars="0" w:hanging="6"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封面</w:t>
      </w:r>
    </w:p>
    <w:p>
      <w:pPr>
        <w:spacing w:line="360" w:lineRule="auto"/>
        <w:ind w:left="0" w:leftChars="0"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2、供应商响应文件报价表（第一次磋商报价）</w:t>
      </w:r>
    </w:p>
    <w:p>
      <w:pPr>
        <w:spacing w:line="360" w:lineRule="auto"/>
        <w:ind w:left="0" w:leftChars="0"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3、供应商响应文件报价表（最终）</w:t>
      </w:r>
    </w:p>
    <w:p>
      <w:pPr>
        <w:pStyle w:val="2"/>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pStyle w:val="2"/>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注明：</w:t>
      </w:r>
    </w:p>
    <w:p>
      <w:pPr>
        <w:pStyle w:val="2"/>
        <w:spacing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供应商响应文件报价表（最终），此表投标报价请空着，在开标现场填写，需提前加盖公章。</w:t>
      </w:r>
    </w:p>
    <w:p>
      <w:pPr>
        <w:pStyle w:val="2"/>
        <w:spacing w:line="360" w:lineRule="auto"/>
        <w:outlineLvl w:val="9"/>
        <w:rPr>
          <w:rFonts w:hint="eastAsia" w:ascii="仿宋" w:hAnsi="仿宋" w:eastAsia="仿宋"/>
          <w:b/>
          <w:bCs/>
          <w:color w:val="auto"/>
          <w:highlight w:val="none"/>
        </w:rPr>
      </w:pPr>
      <w:r>
        <w:rPr>
          <w:rFonts w:hint="eastAsia" w:ascii="仿宋" w:hAnsi="仿宋" w:eastAsia="仿宋"/>
          <w:b/>
          <w:bCs/>
          <w:color w:val="auto"/>
          <w:highlight w:val="none"/>
        </w:rPr>
        <w:br w:type="page"/>
      </w:r>
    </w:p>
    <w:p>
      <w:pPr>
        <w:pStyle w:val="2"/>
        <w:spacing w:line="360" w:lineRule="auto"/>
        <w:jc w:val="center"/>
        <w:outlineLvl w:val="2"/>
        <w:rPr>
          <w:rFonts w:hint="eastAsia" w:ascii="仿宋" w:hAnsi="仿宋" w:eastAsia="仿宋"/>
          <w:b/>
          <w:bCs/>
          <w:color w:val="auto"/>
          <w:highlight w:val="none"/>
        </w:rPr>
      </w:pPr>
      <w:r>
        <w:rPr>
          <w:rFonts w:hint="eastAsia" w:ascii="仿宋" w:hAnsi="仿宋" w:eastAsia="仿宋"/>
          <w:b/>
          <w:bCs/>
          <w:color w:val="auto"/>
          <w:highlight w:val="none"/>
        </w:rPr>
        <w:t>一、供应商响应文件报价表（第一次磋商报价）</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项目编号：                                      </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759"/>
        <w:gridCol w:w="207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序号</w:t>
            </w:r>
          </w:p>
        </w:tc>
        <w:tc>
          <w:tcPr>
            <w:tcW w:w="3759"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项目名称</w:t>
            </w:r>
          </w:p>
        </w:tc>
        <w:tc>
          <w:tcPr>
            <w:tcW w:w="2077" w:type="dxa"/>
            <w:tcBorders>
              <w:top w:val="single" w:color="auto" w:sz="4" w:space="0"/>
              <w:left w:val="nil"/>
              <w:bottom w:val="single" w:color="auto" w:sz="4" w:space="0"/>
              <w:right w:val="single" w:color="auto" w:sz="4" w:space="0"/>
            </w:tcBorders>
            <w:shd w:val="clear" w:color="auto" w:fill="FFFFFF"/>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 xml:space="preserve"> 投标报价</w:t>
            </w:r>
          </w:p>
          <w:p>
            <w:pPr>
              <w:spacing w:line="400" w:lineRule="exact"/>
              <w:jc w:val="center"/>
              <w:rPr>
                <w:rFonts w:ascii="仿宋" w:hAnsi="仿宋" w:eastAsia="仿宋"/>
                <w:color w:val="auto"/>
                <w:highlight w:val="none"/>
              </w:rPr>
            </w:pPr>
            <w:r>
              <w:rPr>
                <w:rFonts w:hint="eastAsia" w:ascii="仿宋" w:hAnsi="仿宋" w:eastAsia="仿宋"/>
                <w:color w:val="auto"/>
                <w:highlight w:val="none"/>
              </w:rPr>
              <w:t>（万元</w:t>
            </w:r>
            <w:r>
              <w:rPr>
                <w:rFonts w:hint="eastAsia" w:ascii="仿宋" w:hAnsi="仿宋" w:eastAsia="仿宋"/>
                <w:color w:val="auto"/>
                <w:highlight w:val="none"/>
                <w:lang w:val="en-US" w:eastAsia="zh-CN"/>
              </w:rPr>
              <w:t>/年</w:t>
            </w:r>
            <w:r>
              <w:rPr>
                <w:rFonts w:hint="eastAsia" w:ascii="仿宋" w:hAnsi="仿宋" w:eastAsia="仿宋"/>
                <w:color w:val="auto"/>
                <w:highlight w:val="none"/>
              </w:rPr>
              <w:t>）</w:t>
            </w:r>
          </w:p>
        </w:tc>
        <w:tc>
          <w:tcPr>
            <w:tcW w:w="2484" w:type="dxa"/>
            <w:tcBorders>
              <w:top w:val="single" w:color="auto" w:sz="4" w:space="0"/>
              <w:left w:val="nil"/>
              <w:bottom w:val="single" w:color="auto" w:sz="4" w:space="0"/>
              <w:right w:val="single" w:color="auto" w:sz="4" w:space="0"/>
            </w:tcBorders>
            <w:shd w:val="clear" w:color="auto" w:fill="FFFFFF"/>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最高限价（万元</w:t>
            </w:r>
            <w:r>
              <w:rPr>
                <w:rFonts w:hint="eastAsia" w:ascii="仿宋" w:hAnsi="仿宋" w:eastAsia="仿宋"/>
                <w:color w:val="auto"/>
                <w:highlight w:val="none"/>
                <w:lang w:val="en-US" w:eastAsia="zh-CN"/>
              </w:rPr>
              <w:t>/年</w:t>
            </w:r>
            <w:r>
              <w:rPr>
                <w:rFonts w:hint="eastAsia" w:ascii="仿宋" w:hAnsi="仿宋" w:eastAsia="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1</w:t>
            </w:r>
          </w:p>
        </w:tc>
        <w:tc>
          <w:tcPr>
            <w:tcW w:w="3759"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p>
        </w:tc>
        <w:tc>
          <w:tcPr>
            <w:tcW w:w="2077"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p>
        </w:tc>
        <w:tc>
          <w:tcPr>
            <w:tcW w:w="2484"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619"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highlight w:val="none"/>
              </w:rPr>
            </w:pPr>
            <w:r>
              <w:rPr>
                <w:rFonts w:hint="eastAsia" w:ascii="仿宋" w:hAnsi="仿宋" w:eastAsia="仿宋"/>
                <w:color w:val="auto"/>
                <w:highlight w:val="none"/>
              </w:rPr>
              <w:t xml:space="preserve">      备           注</w:t>
            </w:r>
          </w:p>
        </w:tc>
        <w:tc>
          <w:tcPr>
            <w:tcW w:w="4561"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olor w:val="auto"/>
                <w:highlight w:val="none"/>
              </w:rPr>
            </w:pPr>
          </w:p>
        </w:tc>
      </w:tr>
    </w:tbl>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法定代表人或者授权代表（签字或盖章）：                    </w:t>
      </w:r>
    </w:p>
    <w:p>
      <w:pPr>
        <w:spacing w:line="360" w:lineRule="auto"/>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磋商供应商全称（盖章）：</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日期：    年   月    日</w:t>
      </w:r>
    </w:p>
    <w:p>
      <w:pPr>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价格构成或报价要求：</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1、此表可以根据需要自行增减行数，且该表报价非本次磋商中的最后报价。</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2、项目如有分包，请各磋商供应商按投报的分包分别列表。</w:t>
      </w:r>
    </w:p>
    <w:p>
      <w:pPr>
        <w:snapToGrid w:val="0"/>
        <w:spacing w:line="420" w:lineRule="exact"/>
        <w:rPr>
          <w:rFonts w:hint="eastAsia" w:ascii="仿宋" w:hAnsi="仿宋" w:eastAsia="仿宋"/>
          <w:color w:val="auto"/>
          <w:sz w:val="18"/>
          <w:szCs w:val="18"/>
          <w:highlight w:val="none"/>
          <w:lang w:eastAsia="zh-CN"/>
        </w:rPr>
      </w:pPr>
      <w:r>
        <w:rPr>
          <w:rFonts w:hint="eastAsia" w:ascii="仿宋" w:hAnsi="仿宋" w:eastAsia="仿宋"/>
          <w:color w:val="auto"/>
          <w:sz w:val="24"/>
          <w:szCs w:val="24"/>
          <w:highlight w:val="none"/>
        </w:rPr>
        <w:t>3、</w:t>
      </w:r>
      <w:r>
        <w:rPr>
          <w:rFonts w:hint="eastAsia" w:ascii="仿宋" w:hAnsi="仿宋" w:eastAsia="仿宋"/>
          <w:b/>
          <w:bCs/>
          <w:color w:val="auto"/>
          <w:kern w:val="0"/>
          <w:highlight w:val="none"/>
        </w:rPr>
        <w:t>响应单位的报价（人民币）按单项报价，报价（以人民币计价）应</w:t>
      </w:r>
      <w:bookmarkStart w:id="2" w:name="_Hlk524490877"/>
      <w:r>
        <w:rPr>
          <w:rFonts w:hint="eastAsia" w:ascii="仿宋" w:hAnsi="仿宋" w:eastAsia="仿宋"/>
          <w:color w:val="auto"/>
          <w:sz w:val="22"/>
          <w:szCs w:val="22"/>
          <w:highlight w:val="none"/>
          <w:lang w:val="en-US" w:eastAsia="zh-CN"/>
        </w:rPr>
        <w:t>包含</w:t>
      </w:r>
      <w:r>
        <w:rPr>
          <w:rFonts w:ascii="仿宋" w:hAnsi="仿宋" w:eastAsia="仿宋"/>
          <w:color w:val="auto"/>
          <w:sz w:val="21"/>
          <w:szCs w:val="21"/>
          <w:highlight w:val="none"/>
        </w:rPr>
        <w:t>工作量和服务包括响应及完成本项目工作所需的一切费用，包含但不限于如：</w:t>
      </w:r>
      <w:bookmarkEnd w:id="2"/>
      <w:r>
        <w:rPr>
          <w:rFonts w:ascii="仿宋" w:hAnsi="仿宋" w:eastAsia="仿宋"/>
          <w:color w:val="auto"/>
          <w:sz w:val="21"/>
          <w:szCs w:val="21"/>
          <w:highlight w:val="none"/>
        </w:rPr>
        <w:t>（1）磋商响应报价中的工作量和服务应包括响应及完成本项目工作所需的一切费用。包含但不限于投标人企业利润、税金和政策性文件规定及合同包含的所有风险、责任，即响应本项目的各项应有费用。（2）本项目涉及安全生产费用应按国家相关规定提取，并考虑在投标报价中。（3）拟派的所有人员安全事故险及员工意外险均包含在本此报价中</w:t>
      </w:r>
      <w:r>
        <w:rPr>
          <w:rFonts w:hint="eastAsia" w:ascii="仿宋" w:hAnsi="仿宋" w:eastAsia="仿宋"/>
          <w:color w:val="auto"/>
          <w:sz w:val="21"/>
          <w:szCs w:val="21"/>
          <w:highlight w:val="none"/>
          <w:lang w:eastAsia="zh-CN"/>
        </w:rPr>
        <w:t>。</w:t>
      </w:r>
    </w:p>
    <w:p>
      <w:pPr>
        <w:adjustRightInd w:val="0"/>
        <w:snapToGrid w:val="0"/>
        <w:spacing w:line="500" w:lineRule="exact"/>
        <w:rPr>
          <w:rFonts w:hint="eastAsia" w:ascii="仿宋" w:hAnsi="仿宋" w:eastAsia="仿宋"/>
          <w:color w:val="auto"/>
          <w:highlight w:val="none"/>
          <w:lang w:eastAsia="zh-CN"/>
        </w:rPr>
      </w:pPr>
    </w:p>
    <w:p>
      <w:pPr>
        <w:spacing w:line="460" w:lineRule="exact"/>
        <w:rPr>
          <w:rFonts w:ascii="仿宋" w:hAnsi="仿宋" w:eastAsia="仿宋" w:cs="黑体"/>
          <w:color w:val="auto"/>
          <w:sz w:val="22"/>
          <w:szCs w:val="21"/>
          <w:highlight w:val="none"/>
        </w:rPr>
      </w:pPr>
    </w:p>
    <w:p>
      <w:pPr>
        <w:snapToGrid w:val="0"/>
        <w:spacing w:line="520" w:lineRule="exact"/>
        <w:rPr>
          <w:rFonts w:hint="eastAsia" w:ascii="仿宋" w:hAnsi="仿宋" w:eastAsia="仿宋"/>
          <w:color w:val="auto"/>
          <w:sz w:val="23"/>
          <w:szCs w:val="23"/>
          <w:highlight w:val="none"/>
        </w:rPr>
      </w:pPr>
      <w:r>
        <w:rPr>
          <w:rFonts w:hint="eastAsia" w:ascii="仿宋" w:hAnsi="仿宋" w:eastAsia="仿宋"/>
          <w:color w:val="auto"/>
          <w:sz w:val="23"/>
          <w:szCs w:val="23"/>
          <w:highlight w:val="none"/>
        </w:rPr>
        <w:t xml:space="preserve"> </w:t>
      </w:r>
    </w:p>
    <w:p>
      <w:pPr>
        <w:adjustRightInd w:val="0"/>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pPr>
        <w:ind w:firstLine="1968" w:firstLineChars="7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pP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br w:type="page"/>
      </w:r>
    </w:p>
    <w:p>
      <w:pPr>
        <w:ind w:firstLine="1687" w:firstLineChars="600"/>
        <w:outlineLvl w:val="2"/>
        <w:rPr>
          <w:rFonts w:hint="eastAsia" w:ascii="仿宋" w:hAnsi="仿宋" w:eastAsia="仿宋"/>
          <w:color w:val="auto"/>
          <w:kern w:val="0"/>
          <w:sz w:val="28"/>
          <w:szCs w:val="28"/>
          <w:highlight w:val="none"/>
        </w:rPr>
      </w:pPr>
      <w:r>
        <w:rPr>
          <w:rFonts w:hint="eastAsia" w:ascii="仿宋" w:hAnsi="仿宋" w:eastAsia="仿宋"/>
          <w:b/>
          <w:bCs/>
          <w:color w:val="auto"/>
          <w:sz w:val="28"/>
          <w:szCs w:val="28"/>
          <w:highlight w:val="none"/>
        </w:rPr>
        <w:t>二、供应商响应文件报价表（最终）</w:t>
      </w:r>
    </w:p>
    <w:p>
      <w:pPr>
        <w:autoSpaceDE w:val="0"/>
        <w:autoSpaceDN w:val="0"/>
        <w:adjustRightInd w:val="0"/>
        <w:jc w:val="lef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项目编号：</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759"/>
        <w:gridCol w:w="207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序号</w:t>
            </w:r>
          </w:p>
        </w:tc>
        <w:tc>
          <w:tcPr>
            <w:tcW w:w="3759"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项目名称</w:t>
            </w:r>
          </w:p>
        </w:tc>
        <w:tc>
          <w:tcPr>
            <w:tcW w:w="2077" w:type="dxa"/>
            <w:tcBorders>
              <w:top w:val="single" w:color="auto" w:sz="4" w:space="0"/>
              <w:left w:val="nil"/>
              <w:bottom w:val="single" w:color="auto" w:sz="4" w:space="0"/>
              <w:right w:val="single" w:color="auto" w:sz="4" w:space="0"/>
            </w:tcBorders>
            <w:shd w:val="clear" w:color="auto" w:fill="FFFFFF"/>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 xml:space="preserve"> 投标报价</w:t>
            </w:r>
          </w:p>
          <w:p>
            <w:pPr>
              <w:spacing w:line="400" w:lineRule="exact"/>
              <w:jc w:val="center"/>
              <w:rPr>
                <w:rFonts w:ascii="仿宋" w:hAnsi="仿宋" w:eastAsia="仿宋"/>
                <w:color w:val="auto"/>
                <w:highlight w:val="none"/>
              </w:rPr>
            </w:pPr>
            <w:r>
              <w:rPr>
                <w:rFonts w:hint="eastAsia" w:ascii="仿宋" w:hAnsi="仿宋" w:eastAsia="仿宋"/>
                <w:color w:val="auto"/>
                <w:highlight w:val="none"/>
              </w:rPr>
              <w:t>（万元</w:t>
            </w:r>
            <w:r>
              <w:rPr>
                <w:rFonts w:hint="eastAsia" w:ascii="仿宋" w:hAnsi="仿宋" w:eastAsia="仿宋"/>
                <w:color w:val="auto"/>
                <w:highlight w:val="none"/>
                <w:lang w:val="en-US" w:eastAsia="zh-CN"/>
              </w:rPr>
              <w:t>/年</w:t>
            </w:r>
            <w:r>
              <w:rPr>
                <w:rFonts w:hint="eastAsia" w:ascii="仿宋" w:hAnsi="仿宋" w:eastAsia="仿宋"/>
                <w:color w:val="auto"/>
                <w:highlight w:val="none"/>
              </w:rPr>
              <w:t>）</w:t>
            </w:r>
          </w:p>
        </w:tc>
        <w:tc>
          <w:tcPr>
            <w:tcW w:w="2484" w:type="dxa"/>
            <w:tcBorders>
              <w:top w:val="single" w:color="auto" w:sz="4" w:space="0"/>
              <w:left w:val="nil"/>
              <w:bottom w:val="single" w:color="auto" w:sz="4" w:space="0"/>
              <w:right w:val="single" w:color="auto" w:sz="4" w:space="0"/>
            </w:tcBorders>
            <w:shd w:val="clear" w:color="auto" w:fill="FFFFFF"/>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最高限价（万元</w:t>
            </w:r>
            <w:r>
              <w:rPr>
                <w:rFonts w:hint="eastAsia" w:ascii="仿宋" w:hAnsi="仿宋" w:eastAsia="仿宋"/>
                <w:color w:val="auto"/>
                <w:highlight w:val="none"/>
                <w:lang w:val="en-US" w:eastAsia="zh-CN"/>
              </w:rPr>
              <w:t>/年</w:t>
            </w:r>
            <w:r>
              <w:rPr>
                <w:rFonts w:hint="eastAsia" w:ascii="仿宋" w:hAnsi="仿宋" w:eastAsia="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r>
              <w:rPr>
                <w:rFonts w:hint="eastAsia" w:ascii="仿宋" w:hAnsi="仿宋" w:eastAsia="仿宋"/>
                <w:color w:val="auto"/>
                <w:highlight w:val="none"/>
              </w:rPr>
              <w:t>1</w:t>
            </w:r>
          </w:p>
        </w:tc>
        <w:tc>
          <w:tcPr>
            <w:tcW w:w="3759"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p>
        </w:tc>
        <w:tc>
          <w:tcPr>
            <w:tcW w:w="2077"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olor w:val="auto"/>
                <w:highlight w:val="none"/>
              </w:rPr>
            </w:pPr>
          </w:p>
        </w:tc>
        <w:tc>
          <w:tcPr>
            <w:tcW w:w="2484"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619"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highlight w:val="none"/>
              </w:rPr>
            </w:pPr>
            <w:r>
              <w:rPr>
                <w:rFonts w:hint="eastAsia" w:ascii="仿宋" w:hAnsi="仿宋" w:eastAsia="仿宋"/>
                <w:color w:val="auto"/>
                <w:highlight w:val="none"/>
              </w:rPr>
              <w:t xml:space="preserve">      备           注</w:t>
            </w:r>
          </w:p>
        </w:tc>
        <w:tc>
          <w:tcPr>
            <w:tcW w:w="4561"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olor w:val="auto"/>
                <w:highlight w:val="none"/>
              </w:rPr>
            </w:pPr>
          </w:p>
        </w:tc>
      </w:tr>
    </w:tbl>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法定代表人或者授权代表（签字或盖章）：                    </w:t>
      </w:r>
    </w:p>
    <w:p>
      <w:pPr>
        <w:spacing w:line="360" w:lineRule="auto"/>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磋商供应商全称（盖章）：</w:t>
      </w:r>
    </w:p>
    <w:p>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日期：    年   月    日</w:t>
      </w:r>
    </w:p>
    <w:p>
      <w:pPr>
        <w:snapToGrid w:val="0"/>
        <w:spacing w:line="360" w:lineRule="auto"/>
        <w:ind w:left="0" w:leftChars="0" w:firstLine="0" w:firstLineChars="0"/>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注：</w:t>
      </w:r>
    </w:p>
    <w:p>
      <w:pPr>
        <w:snapToGrid w:val="0"/>
        <w:spacing w:line="360" w:lineRule="auto"/>
        <w:ind w:left="0" w:leftChars="0" w:firstLine="0" w:firstLineChars="0"/>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1、本表为样表，具体可以自行调整。</w:t>
      </w:r>
    </w:p>
    <w:p>
      <w:pPr>
        <w:snapToGrid w:val="0"/>
        <w:spacing w:line="360" w:lineRule="auto"/>
        <w:ind w:left="0" w:leftChars="0" w:firstLine="0" w:firstLineChars="0"/>
        <w:rPr>
          <w:rFonts w:hint="eastAsia"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2、最终报价表将在磋商现场填写，不得密封在竞争性磋商响应文件中，竞争性磋商响应文件密封提交时只需填写磋商响应报价表（此表请各响应商提前盖好公章带至磋商现场填写）。</w:t>
      </w:r>
    </w:p>
    <w:p>
      <w:pPr>
        <w:snapToGrid w:val="0"/>
        <w:spacing w:line="420" w:lineRule="exact"/>
        <w:rPr>
          <w:rFonts w:hint="eastAsia" w:ascii="仿宋" w:hAnsi="仿宋" w:eastAsia="仿宋"/>
          <w:color w:val="auto"/>
          <w:sz w:val="18"/>
          <w:szCs w:val="18"/>
          <w:highlight w:val="none"/>
          <w:lang w:eastAsia="zh-CN"/>
        </w:rPr>
      </w:pPr>
      <w:r>
        <w:rPr>
          <w:rFonts w:hint="eastAsia" w:ascii="仿宋" w:hAnsi="仿宋" w:eastAsia="仿宋"/>
          <w:b/>
          <w:bCs/>
          <w:color w:val="auto"/>
          <w:kern w:val="0"/>
          <w:sz w:val="24"/>
          <w:szCs w:val="24"/>
          <w:highlight w:val="none"/>
        </w:rPr>
        <w:t>3、响应单位的报价（人民币）按单项报价，报价（以人民币计价）应</w:t>
      </w:r>
      <w:r>
        <w:rPr>
          <w:rFonts w:hint="eastAsia" w:ascii="仿宋" w:hAnsi="仿宋" w:eastAsia="仿宋"/>
          <w:color w:val="auto"/>
          <w:sz w:val="24"/>
          <w:szCs w:val="24"/>
          <w:highlight w:val="none"/>
          <w:lang w:val="en-US" w:eastAsia="zh-CN"/>
        </w:rPr>
        <w:t>包含</w:t>
      </w:r>
      <w:r>
        <w:rPr>
          <w:rFonts w:ascii="仿宋" w:hAnsi="仿宋" w:eastAsia="仿宋"/>
          <w:color w:val="auto"/>
          <w:sz w:val="22"/>
          <w:szCs w:val="22"/>
          <w:highlight w:val="none"/>
        </w:rPr>
        <w:t>工作量和服务包括响应及完成本项目工作所需的一切费用，包含但不限于如：（1）磋商响应报价中的工作量和服务应包括响应及完成本项目工作所需的一切费用。包含但不限于投标人企业利润、税金和政策性文件规定及合同包含的所有风险、责任，即响应本项目的各项应有费用。（2）本项目涉及安全生产费用应按国家相关规定提取，并考虑在投标报价中。（3）拟派的所有人员安全事故险及员工意外险均包含在本此报价中</w:t>
      </w:r>
    </w:p>
    <w:p>
      <w:pPr>
        <w:adjustRightInd w:val="0"/>
        <w:snapToGrid w:val="0"/>
        <w:spacing w:line="360" w:lineRule="auto"/>
        <w:ind w:left="0" w:leftChars="0" w:firstLine="0" w:firstLineChars="0"/>
        <w:rPr>
          <w:rFonts w:hint="eastAsia" w:ascii="仿宋" w:hAnsi="仿宋" w:eastAsia="仿宋"/>
          <w:color w:val="auto"/>
          <w:sz w:val="24"/>
          <w:szCs w:val="24"/>
          <w:highlight w:val="none"/>
        </w:rPr>
      </w:pPr>
      <w:r>
        <w:rPr>
          <w:rFonts w:hint="eastAsia" w:ascii="仿宋" w:hAnsi="仿宋" w:eastAsia="仿宋"/>
          <w:b/>
          <w:bCs/>
          <w:color w:val="auto"/>
          <w:kern w:val="0"/>
          <w:sz w:val="24"/>
          <w:szCs w:val="24"/>
          <w:highlight w:val="none"/>
        </w:rPr>
        <w:t>4、最后一次报价不得高于前一次报价。</w:t>
      </w:r>
    </w:p>
    <w:p>
      <w:pPr>
        <w:rPr>
          <w:color w:val="auto"/>
          <w:highlight w:val="none"/>
        </w:rPr>
      </w:pPr>
    </w:p>
    <w:bookmarkEnd w:i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decorative"/>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BE3F4"/>
    <w:multiLevelType w:val="multilevel"/>
    <w:tmpl w:val="60EBE3F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62"/>
    <w:rsid w:val="00003894"/>
    <w:rsid w:val="000102ED"/>
    <w:rsid w:val="00040E3E"/>
    <w:rsid w:val="00047B7B"/>
    <w:rsid w:val="00051F17"/>
    <w:rsid w:val="00057637"/>
    <w:rsid w:val="00070BA0"/>
    <w:rsid w:val="0008086E"/>
    <w:rsid w:val="00082F3E"/>
    <w:rsid w:val="00087365"/>
    <w:rsid w:val="000A32A2"/>
    <w:rsid w:val="000C31E1"/>
    <w:rsid w:val="000C5E8D"/>
    <w:rsid w:val="000D4763"/>
    <w:rsid w:val="000D7A6A"/>
    <w:rsid w:val="000E6505"/>
    <w:rsid w:val="000F3A96"/>
    <w:rsid w:val="00136270"/>
    <w:rsid w:val="001421C7"/>
    <w:rsid w:val="00145B87"/>
    <w:rsid w:val="0014734A"/>
    <w:rsid w:val="001559F4"/>
    <w:rsid w:val="0016272C"/>
    <w:rsid w:val="001669C7"/>
    <w:rsid w:val="00177524"/>
    <w:rsid w:val="00185086"/>
    <w:rsid w:val="00195C1E"/>
    <w:rsid w:val="00197E9E"/>
    <w:rsid w:val="001A7D28"/>
    <w:rsid w:val="001B24BF"/>
    <w:rsid w:val="001B5B60"/>
    <w:rsid w:val="001C35C5"/>
    <w:rsid w:val="001E6E47"/>
    <w:rsid w:val="001F1972"/>
    <w:rsid w:val="001F2D18"/>
    <w:rsid w:val="00212C1A"/>
    <w:rsid w:val="002341A3"/>
    <w:rsid w:val="002570F6"/>
    <w:rsid w:val="00266752"/>
    <w:rsid w:val="002673D3"/>
    <w:rsid w:val="00267727"/>
    <w:rsid w:val="00274E6A"/>
    <w:rsid w:val="00276C01"/>
    <w:rsid w:val="002817E8"/>
    <w:rsid w:val="00286BF1"/>
    <w:rsid w:val="002948E3"/>
    <w:rsid w:val="002A1800"/>
    <w:rsid w:val="002B1520"/>
    <w:rsid w:val="002B2096"/>
    <w:rsid w:val="002B2889"/>
    <w:rsid w:val="002B55F8"/>
    <w:rsid w:val="002D06B9"/>
    <w:rsid w:val="002D13CF"/>
    <w:rsid w:val="002F37A8"/>
    <w:rsid w:val="002F409B"/>
    <w:rsid w:val="00313906"/>
    <w:rsid w:val="003153CC"/>
    <w:rsid w:val="003257E0"/>
    <w:rsid w:val="003307B3"/>
    <w:rsid w:val="00330AAE"/>
    <w:rsid w:val="00333B66"/>
    <w:rsid w:val="00347F02"/>
    <w:rsid w:val="00355392"/>
    <w:rsid w:val="00357D31"/>
    <w:rsid w:val="003602A7"/>
    <w:rsid w:val="00363541"/>
    <w:rsid w:val="00373214"/>
    <w:rsid w:val="00374490"/>
    <w:rsid w:val="00376F58"/>
    <w:rsid w:val="00386C8B"/>
    <w:rsid w:val="00391B4D"/>
    <w:rsid w:val="00392138"/>
    <w:rsid w:val="003A206A"/>
    <w:rsid w:val="003A3FF6"/>
    <w:rsid w:val="003B0B81"/>
    <w:rsid w:val="003B325E"/>
    <w:rsid w:val="003B642F"/>
    <w:rsid w:val="003C59C1"/>
    <w:rsid w:val="003C5B51"/>
    <w:rsid w:val="003D0781"/>
    <w:rsid w:val="003D641F"/>
    <w:rsid w:val="003E3D06"/>
    <w:rsid w:val="003F65DC"/>
    <w:rsid w:val="004020DF"/>
    <w:rsid w:val="004027A8"/>
    <w:rsid w:val="00417238"/>
    <w:rsid w:val="00453B5F"/>
    <w:rsid w:val="00454112"/>
    <w:rsid w:val="004570D4"/>
    <w:rsid w:val="00463E76"/>
    <w:rsid w:val="004825A9"/>
    <w:rsid w:val="00486038"/>
    <w:rsid w:val="0048656F"/>
    <w:rsid w:val="00493ADF"/>
    <w:rsid w:val="00494173"/>
    <w:rsid w:val="00496B6E"/>
    <w:rsid w:val="004A5880"/>
    <w:rsid w:val="004A5C89"/>
    <w:rsid w:val="004A6A76"/>
    <w:rsid w:val="004B4A65"/>
    <w:rsid w:val="004B6FAD"/>
    <w:rsid w:val="004B76AB"/>
    <w:rsid w:val="004C3AD4"/>
    <w:rsid w:val="004D7C4C"/>
    <w:rsid w:val="004E05AC"/>
    <w:rsid w:val="004E4135"/>
    <w:rsid w:val="004F5C57"/>
    <w:rsid w:val="00501B09"/>
    <w:rsid w:val="0050269E"/>
    <w:rsid w:val="00504FB5"/>
    <w:rsid w:val="0050647E"/>
    <w:rsid w:val="00516B69"/>
    <w:rsid w:val="005239F8"/>
    <w:rsid w:val="005368D1"/>
    <w:rsid w:val="0055791E"/>
    <w:rsid w:val="005658B7"/>
    <w:rsid w:val="00567E4E"/>
    <w:rsid w:val="00596DF8"/>
    <w:rsid w:val="005A22FB"/>
    <w:rsid w:val="005A36F2"/>
    <w:rsid w:val="005B13E7"/>
    <w:rsid w:val="005B55CF"/>
    <w:rsid w:val="005D1653"/>
    <w:rsid w:val="005D62EF"/>
    <w:rsid w:val="005E480B"/>
    <w:rsid w:val="005F06B2"/>
    <w:rsid w:val="005F3E20"/>
    <w:rsid w:val="00602499"/>
    <w:rsid w:val="00620ABD"/>
    <w:rsid w:val="00623B74"/>
    <w:rsid w:val="0062661C"/>
    <w:rsid w:val="00627BA3"/>
    <w:rsid w:val="006505EA"/>
    <w:rsid w:val="006609E9"/>
    <w:rsid w:val="00666458"/>
    <w:rsid w:val="0067665D"/>
    <w:rsid w:val="0069740F"/>
    <w:rsid w:val="006A0746"/>
    <w:rsid w:val="006A096C"/>
    <w:rsid w:val="006A5521"/>
    <w:rsid w:val="006A6D84"/>
    <w:rsid w:val="006B1C03"/>
    <w:rsid w:val="006B3ED2"/>
    <w:rsid w:val="006C4EDF"/>
    <w:rsid w:val="006D6340"/>
    <w:rsid w:val="006E6893"/>
    <w:rsid w:val="006F5B6D"/>
    <w:rsid w:val="00712498"/>
    <w:rsid w:val="00712D0F"/>
    <w:rsid w:val="00714624"/>
    <w:rsid w:val="0071640E"/>
    <w:rsid w:val="007177D4"/>
    <w:rsid w:val="007253F7"/>
    <w:rsid w:val="0073063B"/>
    <w:rsid w:val="00732E87"/>
    <w:rsid w:val="00734FB4"/>
    <w:rsid w:val="00746945"/>
    <w:rsid w:val="00747362"/>
    <w:rsid w:val="007521DD"/>
    <w:rsid w:val="00770412"/>
    <w:rsid w:val="00773146"/>
    <w:rsid w:val="00782964"/>
    <w:rsid w:val="00783198"/>
    <w:rsid w:val="007A77F2"/>
    <w:rsid w:val="007C7C51"/>
    <w:rsid w:val="007D3104"/>
    <w:rsid w:val="007D5B60"/>
    <w:rsid w:val="007D6378"/>
    <w:rsid w:val="007E7EDD"/>
    <w:rsid w:val="007F5B1C"/>
    <w:rsid w:val="007F61CD"/>
    <w:rsid w:val="00820D72"/>
    <w:rsid w:val="008302B4"/>
    <w:rsid w:val="00832A7A"/>
    <w:rsid w:val="0084114E"/>
    <w:rsid w:val="008459F8"/>
    <w:rsid w:val="0085081C"/>
    <w:rsid w:val="0086122B"/>
    <w:rsid w:val="008639C9"/>
    <w:rsid w:val="00863AE2"/>
    <w:rsid w:val="00867578"/>
    <w:rsid w:val="00873795"/>
    <w:rsid w:val="008B5750"/>
    <w:rsid w:val="008C1AA2"/>
    <w:rsid w:val="008C6463"/>
    <w:rsid w:val="008D1E77"/>
    <w:rsid w:val="008E22D4"/>
    <w:rsid w:val="008E2C0B"/>
    <w:rsid w:val="00900455"/>
    <w:rsid w:val="0090457C"/>
    <w:rsid w:val="00910206"/>
    <w:rsid w:val="00910F9A"/>
    <w:rsid w:val="00925D02"/>
    <w:rsid w:val="00927EED"/>
    <w:rsid w:val="0094586A"/>
    <w:rsid w:val="00957085"/>
    <w:rsid w:val="00977151"/>
    <w:rsid w:val="00993746"/>
    <w:rsid w:val="0099435A"/>
    <w:rsid w:val="00995801"/>
    <w:rsid w:val="009E35DF"/>
    <w:rsid w:val="00A144E4"/>
    <w:rsid w:val="00A26699"/>
    <w:rsid w:val="00A26A67"/>
    <w:rsid w:val="00A32F84"/>
    <w:rsid w:val="00A7391B"/>
    <w:rsid w:val="00A80C97"/>
    <w:rsid w:val="00A868F1"/>
    <w:rsid w:val="00A960EB"/>
    <w:rsid w:val="00AB2251"/>
    <w:rsid w:val="00AB3981"/>
    <w:rsid w:val="00AC08DD"/>
    <w:rsid w:val="00AC738A"/>
    <w:rsid w:val="00AD5A58"/>
    <w:rsid w:val="00AE42E3"/>
    <w:rsid w:val="00B42248"/>
    <w:rsid w:val="00B451AF"/>
    <w:rsid w:val="00B46CD0"/>
    <w:rsid w:val="00B475CC"/>
    <w:rsid w:val="00B64623"/>
    <w:rsid w:val="00B729C8"/>
    <w:rsid w:val="00B85967"/>
    <w:rsid w:val="00B9297B"/>
    <w:rsid w:val="00B965CC"/>
    <w:rsid w:val="00BA2368"/>
    <w:rsid w:val="00BA6070"/>
    <w:rsid w:val="00BA734F"/>
    <w:rsid w:val="00BA7EA9"/>
    <w:rsid w:val="00BB5961"/>
    <w:rsid w:val="00BD4FBD"/>
    <w:rsid w:val="00BD73B6"/>
    <w:rsid w:val="00BE091C"/>
    <w:rsid w:val="00BE3D48"/>
    <w:rsid w:val="00BE7F98"/>
    <w:rsid w:val="00BF0DD6"/>
    <w:rsid w:val="00C061B8"/>
    <w:rsid w:val="00C106D3"/>
    <w:rsid w:val="00C44353"/>
    <w:rsid w:val="00C44E07"/>
    <w:rsid w:val="00C51A85"/>
    <w:rsid w:val="00C55B6C"/>
    <w:rsid w:val="00C6039C"/>
    <w:rsid w:val="00C62C4C"/>
    <w:rsid w:val="00C63D45"/>
    <w:rsid w:val="00C65A7E"/>
    <w:rsid w:val="00C77D59"/>
    <w:rsid w:val="00C80352"/>
    <w:rsid w:val="00C80712"/>
    <w:rsid w:val="00C91958"/>
    <w:rsid w:val="00C93C9A"/>
    <w:rsid w:val="00CA6ACE"/>
    <w:rsid w:val="00CA7199"/>
    <w:rsid w:val="00CB4CC9"/>
    <w:rsid w:val="00CC7B59"/>
    <w:rsid w:val="00CE5E7E"/>
    <w:rsid w:val="00CE6278"/>
    <w:rsid w:val="00CE6A4C"/>
    <w:rsid w:val="00CF585E"/>
    <w:rsid w:val="00CF6D6A"/>
    <w:rsid w:val="00D042A0"/>
    <w:rsid w:val="00D145D4"/>
    <w:rsid w:val="00D23206"/>
    <w:rsid w:val="00D34547"/>
    <w:rsid w:val="00D44357"/>
    <w:rsid w:val="00D46806"/>
    <w:rsid w:val="00D47301"/>
    <w:rsid w:val="00D52F1F"/>
    <w:rsid w:val="00D66B79"/>
    <w:rsid w:val="00D858FC"/>
    <w:rsid w:val="00D948F9"/>
    <w:rsid w:val="00DA129D"/>
    <w:rsid w:val="00DA51B3"/>
    <w:rsid w:val="00DC0149"/>
    <w:rsid w:val="00DD4267"/>
    <w:rsid w:val="00DD718B"/>
    <w:rsid w:val="00DE6601"/>
    <w:rsid w:val="00DF7680"/>
    <w:rsid w:val="00E35CEC"/>
    <w:rsid w:val="00E3798D"/>
    <w:rsid w:val="00E4011A"/>
    <w:rsid w:val="00E80A5D"/>
    <w:rsid w:val="00E83D6A"/>
    <w:rsid w:val="00E95C04"/>
    <w:rsid w:val="00E97646"/>
    <w:rsid w:val="00EB1B5D"/>
    <w:rsid w:val="00EB3CAE"/>
    <w:rsid w:val="00EC276A"/>
    <w:rsid w:val="00EC5A4E"/>
    <w:rsid w:val="00EF1377"/>
    <w:rsid w:val="00EF4140"/>
    <w:rsid w:val="00EF56F9"/>
    <w:rsid w:val="00F124B0"/>
    <w:rsid w:val="00F143B4"/>
    <w:rsid w:val="00F42196"/>
    <w:rsid w:val="00F566D0"/>
    <w:rsid w:val="00F61903"/>
    <w:rsid w:val="00F74EC8"/>
    <w:rsid w:val="00F776A6"/>
    <w:rsid w:val="00F9773F"/>
    <w:rsid w:val="00F97F8B"/>
    <w:rsid w:val="00FA078E"/>
    <w:rsid w:val="00FA6673"/>
    <w:rsid w:val="00FB31B9"/>
    <w:rsid w:val="00FC7E36"/>
    <w:rsid w:val="00FD042A"/>
    <w:rsid w:val="00FE59AD"/>
    <w:rsid w:val="00FE679D"/>
    <w:rsid w:val="00FE6994"/>
    <w:rsid w:val="0466461E"/>
    <w:rsid w:val="05467101"/>
    <w:rsid w:val="05EC193D"/>
    <w:rsid w:val="064038BD"/>
    <w:rsid w:val="06977678"/>
    <w:rsid w:val="09E34508"/>
    <w:rsid w:val="0B6023B8"/>
    <w:rsid w:val="0BC055D5"/>
    <w:rsid w:val="0BE062E7"/>
    <w:rsid w:val="0D1A20DB"/>
    <w:rsid w:val="0D4002EA"/>
    <w:rsid w:val="0D81684C"/>
    <w:rsid w:val="0E0F62A1"/>
    <w:rsid w:val="10AE3D02"/>
    <w:rsid w:val="10FE6197"/>
    <w:rsid w:val="11F41DC5"/>
    <w:rsid w:val="123727D2"/>
    <w:rsid w:val="12FA784A"/>
    <w:rsid w:val="136D7420"/>
    <w:rsid w:val="137E7351"/>
    <w:rsid w:val="144D0125"/>
    <w:rsid w:val="14EF6A7F"/>
    <w:rsid w:val="1526587E"/>
    <w:rsid w:val="15770E5B"/>
    <w:rsid w:val="159D4937"/>
    <w:rsid w:val="15B42821"/>
    <w:rsid w:val="160C3D50"/>
    <w:rsid w:val="162B00EE"/>
    <w:rsid w:val="16A23EFE"/>
    <w:rsid w:val="1710249A"/>
    <w:rsid w:val="17191F74"/>
    <w:rsid w:val="17D7683D"/>
    <w:rsid w:val="18963598"/>
    <w:rsid w:val="198920C5"/>
    <w:rsid w:val="19994317"/>
    <w:rsid w:val="1A4C7BDD"/>
    <w:rsid w:val="1AC11A9E"/>
    <w:rsid w:val="1B2F6BA7"/>
    <w:rsid w:val="1B4F4211"/>
    <w:rsid w:val="1B5B5D66"/>
    <w:rsid w:val="1D5A1103"/>
    <w:rsid w:val="1E510F3F"/>
    <w:rsid w:val="1F35656F"/>
    <w:rsid w:val="204E21CB"/>
    <w:rsid w:val="20E44B5D"/>
    <w:rsid w:val="211B4354"/>
    <w:rsid w:val="21273084"/>
    <w:rsid w:val="21723781"/>
    <w:rsid w:val="21BA375C"/>
    <w:rsid w:val="224121E9"/>
    <w:rsid w:val="228911FD"/>
    <w:rsid w:val="22FD3E1C"/>
    <w:rsid w:val="241B48CE"/>
    <w:rsid w:val="24393E04"/>
    <w:rsid w:val="249325FD"/>
    <w:rsid w:val="26101F3F"/>
    <w:rsid w:val="26B50FC1"/>
    <w:rsid w:val="2711443D"/>
    <w:rsid w:val="27142F3B"/>
    <w:rsid w:val="27862A79"/>
    <w:rsid w:val="27E17113"/>
    <w:rsid w:val="2850577E"/>
    <w:rsid w:val="287774CF"/>
    <w:rsid w:val="28C57140"/>
    <w:rsid w:val="28D036F1"/>
    <w:rsid w:val="28FE22D0"/>
    <w:rsid w:val="294244FF"/>
    <w:rsid w:val="29562AE9"/>
    <w:rsid w:val="29B00F45"/>
    <w:rsid w:val="2A0C0EFD"/>
    <w:rsid w:val="2A1E1C32"/>
    <w:rsid w:val="2A6364EE"/>
    <w:rsid w:val="2ABA3644"/>
    <w:rsid w:val="2AFF106A"/>
    <w:rsid w:val="2B2907A7"/>
    <w:rsid w:val="2D4C12C8"/>
    <w:rsid w:val="2D6D0E25"/>
    <w:rsid w:val="2D7C30AE"/>
    <w:rsid w:val="2DB36933"/>
    <w:rsid w:val="2EE7381F"/>
    <w:rsid w:val="2F0734DF"/>
    <w:rsid w:val="2F6B7424"/>
    <w:rsid w:val="30B01A2F"/>
    <w:rsid w:val="32732C7E"/>
    <w:rsid w:val="329866CA"/>
    <w:rsid w:val="33BC0CF5"/>
    <w:rsid w:val="33E00006"/>
    <w:rsid w:val="33EA6920"/>
    <w:rsid w:val="34774FD5"/>
    <w:rsid w:val="34A4059B"/>
    <w:rsid w:val="350E4759"/>
    <w:rsid w:val="36910DE3"/>
    <w:rsid w:val="36F42929"/>
    <w:rsid w:val="377F0117"/>
    <w:rsid w:val="38232FD5"/>
    <w:rsid w:val="382F21DD"/>
    <w:rsid w:val="38CF63A1"/>
    <w:rsid w:val="394653DF"/>
    <w:rsid w:val="394807B9"/>
    <w:rsid w:val="397C4B92"/>
    <w:rsid w:val="3A8F52AC"/>
    <w:rsid w:val="3AF113D9"/>
    <w:rsid w:val="3B656CC4"/>
    <w:rsid w:val="3BFD5712"/>
    <w:rsid w:val="3CB204D8"/>
    <w:rsid w:val="3D1073BD"/>
    <w:rsid w:val="3D3327B5"/>
    <w:rsid w:val="3D73609C"/>
    <w:rsid w:val="3E477DF9"/>
    <w:rsid w:val="3ED078F3"/>
    <w:rsid w:val="3FE34D75"/>
    <w:rsid w:val="40B97D1C"/>
    <w:rsid w:val="41BD569D"/>
    <w:rsid w:val="42637C2F"/>
    <w:rsid w:val="42660B90"/>
    <w:rsid w:val="43662443"/>
    <w:rsid w:val="45544F4B"/>
    <w:rsid w:val="46036F79"/>
    <w:rsid w:val="462B31C2"/>
    <w:rsid w:val="46E879E3"/>
    <w:rsid w:val="471469C1"/>
    <w:rsid w:val="477A6F64"/>
    <w:rsid w:val="484414C9"/>
    <w:rsid w:val="48E65D24"/>
    <w:rsid w:val="495C6485"/>
    <w:rsid w:val="49D60BD5"/>
    <w:rsid w:val="4A940356"/>
    <w:rsid w:val="4B402CB2"/>
    <w:rsid w:val="4BC322EC"/>
    <w:rsid w:val="4C690D75"/>
    <w:rsid w:val="4C81790C"/>
    <w:rsid w:val="4CFA310B"/>
    <w:rsid w:val="4D7C65BA"/>
    <w:rsid w:val="4E2C110D"/>
    <w:rsid w:val="4E84354B"/>
    <w:rsid w:val="4F0C0F40"/>
    <w:rsid w:val="4F1D794A"/>
    <w:rsid w:val="50991B28"/>
    <w:rsid w:val="50B84EC1"/>
    <w:rsid w:val="51F12FC2"/>
    <w:rsid w:val="521B06A2"/>
    <w:rsid w:val="53DC49EE"/>
    <w:rsid w:val="53DD16AD"/>
    <w:rsid w:val="540522D3"/>
    <w:rsid w:val="54A4011B"/>
    <w:rsid w:val="55DE1A02"/>
    <w:rsid w:val="55FB7350"/>
    <w:rsid w:val="565A1D5B"/>
    <w:rsid w:val="565F1BF9"/>
    <w:rsid w:val="569A1A5D"/>
    <w:rsid w:val="56F24413"/>
    <w:rsid w:val="575F7740"/>
    <w:rsid w:val="58FE7FBF"/>
    <w:rsid w:val="5A9D678A"/>
    <w:rsid w:val="5B1F6252"/>
    <w:rsid w:val="5C743039"/>
    <w:rsid w:val="5C8E4686"/>
    <w:rsid w:val="5CA16B10"/>
    <w:rsid w:val="5CBE0819"/>
    <w:rsid w:val="5D68523B"/>
    <w:rsid w:val="5E7C4EC5"/>
    <w:rsid w:val="5EDA2148"/>
    <w:rsid w:val="5FA25417"/>
    <w:rsid w:val="600775F8"/>
    <w:rsid w:val="6054093D"/>
    <w:rsid w:val="607957B7"/>
    <w:rsid w:val="61886913"/>
    <w:rsid w:val="63D5287B"/>
    <w:rsid w:val="6538557B"/>
    <w:rsid w:val="653E1A72"/>
    <w:rsid w:val="65696401"/>
    <w:rsid w:val="67013909"/>
    <w:rsid w:val="686E4264"/>
    <w:rsid w:val="69D4612E"/>
    <w:rsid w:val="69F025DD"/>
    <w:rsid w:val="6A2B532C"/>
    <w:rsid w:val="6B8F7AD8"/>
    <w:rsid w:val="6BA142E7"/>
    <w:rsid w:val="6D00268C"/>
    <w:rsid w:val="6DBE7FFF"/>
    <w:rsid w:val="6E8377B9"/>
    <w:rsid w:val="6EA547D6"/>
    <w:rsid w:val="6ED00B8F"/>
    <w:rsid w:val="6EF32DDF"/>
    <w:rsid w:val="6F3B4C19"/>
    <w:rsid w:val="717C718C"/>
    <w:rsid w:val="728679CA"/>
    <w:rsid w:val="72A671BC"/>
    <w:rsid w:val="731B4D0E"/>
    <w:rsid w:val="74A05660"/>
    <w:rsid w:val="74CC30A1"/>
    <w:rsid w:val="75012AFD"/>
    <w:rsid w:val="752F6E88"/>
    <w:rsid w:val="75C238C0"/>
    <w:rsid w:val="75FD6FE7"/>
    <w:rsid w:val="76025D8F"/>
    <w:rsid w:val="765D144F"/>
    <w:rsid w:val="76663C87"/>
    <w:rsid w:val="769238C2"/>
    <w:rsid w:val="77022066"/>
    <w:rsid w:val="77085FE9"/>
    <w:rsid w:val="774A4B50"/>
    <w:rsid w:val="77567270"/>
    <w:rsid w:val="77E24F40"/>
    <w:rsid w:val="78FD2A24"/>
    <w:rsid w:val="79096BA0"/>
    <w:rsid w:val="791742AA"/>
    <w:rsid w:val="797B66FC"/>
    <w:rsid w:val="7A15437C"/>
    <w:rsid w:val="7A55590C"/>
    <w:rsid w:val="7B521F18"/>
    <w:rsid w:val="7B6B63F2"/>
    <w:rsid w:val="7B8136AE"/>
    <w:rsid w:val="7C130C37"/>
    <w:rsid w:val="7CA36FE9"/>
    <w:rsid w:val="7CBD6523"/>
    <w:rsid w:val="7D586F6C"/>
    <w:rsid w:val="7D7E07C8"/>
    <w:rsid w:val="7EAA7A3A"/>
    <w:rsid w:val="7EF3365D"/>
    <w:rsid w:val="7F145754"/>
    <w:rsid w:val="7F2147EF"/>
    <w:rsid w:val="7F6A4556"/>
    <w:rsid w:val="7F776B68"/>
    <w:rsid w:val="7FC91913"/>
    <w:rsid w:val="7FF21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link w:val="19"/>
    <w:qFormat/>
    <w:uiPriority w:val="99"/>
    <w:pPr>
      <w:keepNext/>
      <w:keepLines/>
      <w:spacing w:before="260" w:after="260" w:line="412" w:lineRule="auto"/>
      <w:jc w:val="center"/>
      <w:outlineLvl w:val="1"/>
    </w:pPr>
    <w:rPr>
      <w:rFonts w:ascii="Arial" w:hAnsi="Arial" w:eastAsia="幼圆"/>
      <w:b/>
      <w:bCs/>
      <w:sz w:val="44"/>
      <w:szCs w:val="44"/>
    </w:rPr>
  </w:style>
  <w:style w:type="paragraph" w:styleId="5">
    <w:name w:val="heading 3"/>
    <w:basedOn w:val="1"/>
    <w:next w:val="1"/>
    <w:link w:val="20"/>
    <w:qFormat/>
    <w:uiPriority w:val="99"/>
    <w:pPr>
      <w:keepNext/>
      <w:keepLines/>
      <w:spacing w:before="260" w:after="260" w:line="412" w:lineRule="auto"/>
      <w:outlineLvl w:val="2"/>
    </w:pPr>
    <w:rPr>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1"/>
    <w:unhideWhenUsed/>
    <w:qFormat/>
    <w:uiPriority w:val="99"/>
    <w:rPr>
      <w:rFonts w:ascii="??_GB2312" w:hAnsi="Arial"/>
      <w:sz w:val="28"/>
      <w:szCs w:val="28"/>
    </w:rPr>
  </w:style>
  <w:style w:type="paragraph" w:styleId="6">
    <w:name w:val="annotation text"/>
    <w:basedOn w:val="1"/>
    <w:link w:val="32"/>
    <w:unhideWhenUsed/>
    <w:qFormat/>
    <w:uiPriority w:val="99"/>
    <w:pPr>
      <w:jc w:val="left"/>
    </w:pPr>
  </w:style>
  <w:style w:type="paragraph" w:styleId="7">
    <w:name w:val="Body Text 3"/>
    <w:basedOn w:val="1"/>
    <w:qFormat/>
    <w:uiPriority w:val="0"/>
    <w:rPr>
      <w:rFonts w:ascii="仿宋_GB2312" w:hAnsi="Arial" w:eastAsia="仿宋_GB2312"/>
      <w:sz w:val="32"/>
      <w:szCs w:val="32"/>
    </w:rPr>
  </w:style>
  <w:style w:type="paragraph" w:styleId="8">
    <w:name w:val="Body Text Indent"/>
    <w:basedOn w:val="1"/>
    <w:next w:val="9"/>
    <w:link w:val="22"/>
    <w:unhideWhenUsed/>
    <w:qFormat/>
    <w:uiPriority w:val="99"/>
    <w:pPr>
      <w:spacing w:before="100" w:beforeAutospacing="1"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footer"/>
    <w:basedOn w:val="1"/>
    <w:link w:val="23"/>
    <w:unhideWhenUsed/>
    <w:qFormat/>
    <w:uiPriority w:val="99"/>
    <w:pPr>
      <w:snapToGrid w:val="0"/>
      <w:jc w:val="left"/>
    </w:pPr>
    <w:rPr>
      <w:sz w:val="18"/>
      <w:szCs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8"/>
    <w:link w:val="24"/>
    <w:unhideWhenUsed/>
    <w:qFormat/>
    <w:uiPriority w:val="99"/>
    <w:pPr>
      <w:ind w:firstLine="420" w:firstLineChars="200"/>
    </w:pPr>
  </w:style>
  <w:style w:type="table" w:styleId="14">
    <w:name w:val="Table Grid"/>
    <w:basedOn w:val="13"/>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Hyperlink"/>
    <w:basedOn w:val="15"/>
    <w:semiHidden/>
    <w:unhideWhenUsed/>
    <w:qFormat/>
    <w:uiPriority w:val="99"/>
    <w:rPr>
      <w:color w:val="0000FF"/>
      <w:u w:val="single"/>
    </w:rPr>
  </w:style>
  <w:style w:type="paragraph" w:customStyle="1" w:styleId="18">
    <w:name w:val="段"/>
    <w:next w:val="1"/>
    <w:qFormat/>
    <w:uiPriority w:val="0"/>
    <w:pPr>
      <w:widowControl w:val="0"/>
      <w:ind w:firstLine="200"/>
      <w:jc w:val="both"/>
    </w:pPr>
    <w:rPr>
      <w:rFonts w:ascii="宋体" w:hAnsi="宋体" w:eastAsia="宋体" w:cs="宋体"/>
      <w:color w:val="000000"/>
      <w:kern w:val="0"/>
      <w:sz w:val="21"/>
      <w:szCs w:val="21"/>
      <w:lang w:val="en-US" w:eastAsia="zh-CN" w:bidi="ar-SA"/>
    </w:rPr>
  </w:style>
  <w:style w:type="character" w:customStyle="1" w:styleId="19">
    <w:name w:val="标题 2 Char"/>
    <w:basedOn w:val="15"/>
    <w:link w:val="4"/>
    <w:qFormat/>
    <w:uiPriority w:val="99"/>
    <w:rPr>
      <w:rFonts w:ascii="Arial" w:hAnsi="Arial" w:eastAsia="幼圆" w:cs="Times New Roman"/>
      <w:b/>
      <w:bCs/>
      <w:sz w:val="44"/>
      <w:szCs w:val="44"/>
    </w:rPr>
  </w:style>
  <w:style w:type="character" w:customStyle="1" w:styleId="20">
    <w:name w:val="标题 3 Char"/>
    <w:basedOn w:val="15"/>
    <w:link w:val="5"/>
    <w:qFormat/>
    <w:uiPriority w:val="99"/>
    <w:rPr>
      <w:rFonts w:ascii="Calibri" w:hAnsi="Calibri" w:eastAsia="宋体" w:cs="Times New Roman"/>
      <w:b/>
      <w:bCs/>
      <w:sz w:val="32"/>
      <w:szCs w:val="32"/>
    </w:rPr>
  </w:style>
  <w:style w:type="character" w:customStyle="1" w:styleId="21">
    <w:name w:val="正文文本 Char"/>
    <w:basedOn w:val="15"/>
    <w:link w:val="2"/>
    <w:qFormat/>
    <w:uiPriority w:val="99"/>
    <w:rPr>
      <w:rFonts w:ascii="??_GB2312" w:hAnsi="Arial" w:eastAsia="宋体" w:cs="Times New Roman"/>
      <w:sz w:val="28"/>
      <w:szCs w:val="28"/>
    </w:rPr>
  </w:style>
  <w:style w:type="character" w:customStyle="1" w:styleId="22">
    <w:name w:val="正文文本缩进 Char"/>
    <w:basedOn w:val="15"/>
    <w:link w:val="8"/>
    <w:qFormat/>
    <w:uiPriority w:val="99"/>
    <w:rPr>
      <w:rFonts w:ascii="Calibri" w:hAnsi="Calibri" w:eastAsia="宋体" w:cs="Times New Roman"/>
      <w:szCs w:val="21"/>
    </w:rPr>
  </w:style>
  <w:style w:type="character" w:customStyle="1" w:styleId="23">
    <w:name w:val="页脚 Char"/>
    <w:basedOn w:val="15"/>
    <w:link w:val="10"/>
    <w:qFormat/>
    <w:uiPriority w:val="99"/>
    <w:rPr>
      <w:rFonts w:ascii="Calibri" w:hAnsi="Calibri" w:eastAsia="宋体" w:cs="Times New Roman"/>
      <w:sz w:val="18"/>
      <w:szCs w:val="18"/>
    </w:rPr>
  </w:style>
  <w:style w:type="character" w:customStyle="1" w:styleId="24">
    <w:name w:val="正文首行缩进 2 Char"/>
    <w:basedOn w:val="22"/>
    <w:link w:val="12"/>
    <w:qFormat/>
    <w:uiPriority w:val="99"/>
  </w:style>
  <w:style w:type="paragraph" w:customStyle="1" w:styleId="2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2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7">
    <w:name w:val="标题1"/>
    <w:basedOn w:val="1"/>
    <w:next w:val="1"/>
    <w:qFormat/>
    <w:uiPriority w:val="0"/>
    <w:pPr>
      <w:spacing w:line="700" w:lineRule="atLeast"/>
      <w:jc w:val="center"/>
    </w:pPr>
    <w:rPr>
      <w:rFonts w:ascii="Times New Roman" w:hAnsi="Times New Roman"/>
      <w:sz w:val="44"/>
      <w:szCs w:val="44"/>
    </w:rPr>
  </w:style>
  <w:style w:type="paragraph" w:customStyle="1" w:styleId="28">
    <w:name w:val="列出段落2"/>
    <w:basedOn w:val="1"/>
    <w:qFormat/>
    <w:uiPriority w:val="0"/>
    <w:pPr>
      <w:ind w:firstLine="420" w:firstLineChars="200"/>
    </w:pPr>
  </w:style>
  <w:style w:type="paragraph" w:customStyle="1" w:styleId="29">
    <w:name w:val="列出段落1"/>
    <w:basedOn w:val="1"/>
    <w:qFormat/>
    <w:uiPriority w:val="0"/>
    <w:pPr>
      <w:ind w:firstLine="420" w:firstLineChars="200"/>
    </w:pPr>
  </w:style>
  <w:style w:type="paragraph" w:customStyle="1" w:styleId="30">
    <w:name w:val="样式 标题 2 + 黑色 行距: 1.5 倍行距"/>
    <w:basedOn w:val="4"/>
    <w:qFormat/>
    <w:uiPriority w:val="0"/>
    <w:pPr>
      <w:spacing w:line="360" w:lineRule="auto"/>
      <w:ind w:firstLine="2397" w:firstLineChars="746"/>
      <w:jc w:val="left"/>
    </w:pPr>
    <w:rPr>
      <w:rFonts w:ascii="宋体" w:hAnsi="宋体" w:eastAsia="宋体" w:cs="??_GB2312"/>
      <w:color w:val="000000"/>
    </w:rPr>
  </w:style>
  <w:style w:type="paragraph" w:customStyle="1" w:styleId="31">
    <w:name w:val="List Paragraph"/>
    <w:basedOn w:val="1"/>
    <w:semiHidden/>
    <w:qFormat/>
    <w:uiPriority w:val="0"/>
    <w:pPr>
      <w:ind w:firstLine="420" w:firstLineChars="200"/>
    </w:pPr>
  </w:style>
  <w:style w:type="character" w:customStyle="1" w:styleId="32">
    <w:name w:val="批注文字 Char"/>
    <w:basedOn w:val="15"/>
    <w:link w:val="6"/>
    <w:qFormat/>
    <w:uiPriority w:val="99"/>
    <w:rPr>
      <w:rFonts w:ascii="Calibri" w:hAnsi="Calibri" w:eastAsia="宋体" w:cs="Times New Roman"/>
      <w:szCs w:val="21"/>
    </w:rPr>
  </w:style>
  <w:style w:type="paragraph" w:customStyle="1" w:styleId="33">
    <w:name w:val="列出段落3"/>
    <w:basedOn w:val="1"/>
    <w:semiHidden/>
    <w:qFormat/>
    <w:uiPriority w:val="0"/>
    <w:pPr>
      <w:ind w:firstLine="420" w:firstLineChars="200"/>
    </w:pPr>
  </w:style>
  <w:style w:type="paragraph" w:customStyle="1" w:styleId="34">
    <w:name w:val="正文缩进2格"/>
    <w:basedOn w:val="1"/>
    <w:qFormat/>
    <w:uiPriority w:val="0"/>
    <w:pPr>
      <w:spacing w:line="600" w:lineRule="exact"/>
      <w:ind w:firstLine="639" w:firstLineChars="206"/>
    </w:pPr>
    <w:rPr>
      <w:rFonts w:ascii="??_GB2312" w:hAnsi="宋体"/>
      <w:sz w:val="31"/>
      <w:szCs w:val="31"/>
    </w:rPr>
  </w:style>
  <w:style w:type="character" w:customStyle="1" w:styleId="35">
    <w:name w:val="NormalCharacter"/>
    <w:semiHidden/>
    <w:qFormat/>
    <w:uiPriority w:val="0"/>
  </w:style>
  <w:style w:type="paragraph" w:customStyle="1" w:styleId="36">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8">
    <w:name w:val="BodyText"/>
    <w:basedOn w:val="1"/>
    <w:qFormat/>
    <w:uiPriority w:val="0"/>
    <w:rPr>
      <w:rFonts w:ascii="??_GB2312" w:hAnsi="Arial"/>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3635</Words>
  <Characters>20725</Characters>
  <Lines>172</Lines>
  <Paragraphs>48</Paragraphs>
  <TotalTime>14</TotalTime>
  <ScaleCrop>false</ScaleCrop>
  <LinksUpToDate>false</LinksUpToDate>
  <CharactersWithSpaces>24312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2021-06-08T08:43:00Z</dcterms:created>
  <dc:creator>pc</dc:creator>
  <cp:lastModifiedBy>user</cp:lastModifiedBy>
  <cp:lastPrinted>2021-06-17T02:44:00Z</cp:lastPrinted>
  <dcterms:modified xsi:type="dcterms:W3CDTF">2021-08-20T08:11:58Z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DC1710F68258498CA85AAD884482DBDA</vt:lpwstr>
  </property>
</Properties>
</file>