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bookmarkStart w:id="2" w:name="_GoBack"/>
      <w:r>
        <w:rPr>
          <w:rFonts w:hint="eastAsia" w:ascii="宋体" w:hAnsi="宋体"/>
          <w:b/>
          <w:bCs/>
          <w:sz w:val="52"/>
          <w:szCs w:val="52"/>
          <w:lang w:eastAsia="zh-CN"/>
        </w:rPr>
        <w:t>南通开发区星湖小学高压配电间年度检测项目(二次)</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7</w:t>
      </w:r>
      <w:r>
        <w:rPr>
          <w:rFonts w:hint="eastAsia" w:ascii="宋体" w:hAnsi="宋体"/>
          <w:b/>
          <w:bCs/>
          <w:sz w:val="32"/>
          <w:szCs w:val="24"/>
        </w:rPr>
        <w:t>月</w:t>
      </w:r>
      <w:r>
        <w:rPr>
          <w:rFonts w:hint="eastAsia" w:ascii="宋体" w:hAnsi="宋体"/>
          <w:b/>
          <w:bCs/>
          <w:sz w:val="32"/>
          <w:szCs w:val="24"/>
          <w:lang w:val="en-US" w:eastAsia="zh-CN"/>
        </w:rPr>
        <w:t>26</w:t>
      </w:r>
      <w:r>
        <w:rPr>
          <w:rFonts w:hint="eastAsia" w:ascii="宋体" w:hAnsi="宋体"/>
          <w:b/>
          <w:bCs/>
          <w:sz w:val="32"/>
          <w:szCs w:val="24"/>
        </w:rPr>
        <w:t>日</w:t>
      </w:r>
    </w:p>
    <w:bookmarkEnd w:id="2"/>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南通开发区星湖小学高压配电间年度检测项目(二次)</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星湖小学高压配电间年度检测项目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4</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7</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31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星湖小学高压配电间年度检测项目</w:t>
      </w:r>
      <w:r>
        <w:rPr>
          <w:rFonts w:hint="eastAsia" w:ascii="宋体" w:hAnsi="宋体" w:eastAsia="宋体" w:cs="仿宋"/>
          <w:sz w:val="24"/>
          <w:szCs w:val="24"/>
        </w:rPr>
        <w:t>实施询价采购，欢迎符合条件的供应商参加。</w:t>
      </w:r>
    </w:p>
    <w:p>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南通开发区星湖小学高压配电间年度检测项目(二次)</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2.9</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2.9</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星湖小学高压配电间年度检测项目</w:t>
      </w:r>
      <w:r>
        <w:rPr>
          <w:rFonts w:hint="eastAsia" w:ascii="宋体" w:hAnsi="宋体" w:eastAsia="宋体"/>
          <w:sz w:val="24"/>
          <w:szCs w:val="24"/>
        </w:rPr>
        <w:t>及服务，详见询价文件附件。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lang w:val="en-US" w:eastAsia="zh-CN"/>
        </w:rPr>
        <w:t>检测</w:t>
      </w:r>
      <w:r>
        <w:rPr>
          <w:rFonts w:hint="eastAsia" w:ascii="宋体" w:hAnsi="宋体" w:eastAsia="宋体"/>
          <w:b/>
          <w:bCs/>
        </w:rPr>
        <w:t>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7</w:t>
      </w:r>
      <w:r>
        <w:rPr>
          <w:rFonts w:hint="eastAsia"/>
          <w:b/>
          <w:highlight w:val="none"/>
          <w:shd w:val="clear" w:color="auto" w:fill="FFFFFF"/>
        </w:rPr>
        <w:t>月</w:t>
      </w:r>
      <w:r>
        <w:rPr>
          <w:rFonts w:hint="eastAsia"/>
          <w:b/>
          <w:color w:val="auto"/>
          <w:highlight w:val="none"/>
          <w:u w:val="single"/>
          <w:shd w:val="clear" w:color="auto" w:fill="FFFFFF"/>
          <w:lang w:val="en-US" w:eastAsia="zh-CN"/>
        </w:rPr>
        <w:t>31日9点00分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7</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31日9点00分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13962741259</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lang w:val="en-US" w:eastAsia="zh-CN"/>
        </w:rPr>
        <w:t>7</w:t>
      </w:r>
      <w:r>
        <w:rPr>
          <w:rFonts w:hint="eastAsia" w:ascii="宋体" w:hAnsi="宋体"/>
          <w:b/>
          <w:kern w:val="2"/>
        </w:rPr>
        <w:t>月</w:t>
      </w:r>
      <w:r>
        <w:rPr>
          <w:rFonts w:hint="eastAsia" w:ascii="宋体" w:hAnsi="宋体"/>
          <w:b/>
          <w:kern w:val="2"/>
          <w:lang w:val="en-US" w:eastAsia="zh-CN"/>
        </w:rPr>
        <w:t>26</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0"/>
        </w:numPr>
        <w:rPr>
          <w:rFonts w:hint="eastAsia" w:ascii="黑体" w:hAnsi="黑体" w:eastAsia="黑体" w:cs="黑体"/>
          <w:b/>
          <w:bCs/>
          <w:lang w:val="en-US" w:eastAsia="zh-CN"/>
        </w:rPr>
      </w:pPr>
      <w:bookmarkStart w:id="1" w:name="_Toc48227988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694"/>
        <w:gridCol w:w="2539"/>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numPr>
                <w:ilvl w:val="0"/>
                <w:numId w:val="0"/>
              </w:numPr>
              <w:rPr>
                <w:rFonts w:hint="default"/>
                <w:sz w:val="28"/>
                <w:szCs w:val="32"/>
                <w:vertAlign w:val="baseline"/>
                <w:lang w:val="en-US" w:eastAsia="zh-CN"/>
              </w:rPr>
            </w:pPr>
            <w:r>
              <w:rPr>
                <w:rFonts w:hint="eastAsia"/>
                <w:sz w:val="28"/>
                <w:szCs w:val="32"/>
                <w:vertAlign w:val="baseline"/>
                <w:lang w:val="en-US" w:eastAsia="zh-CN"/>
              </w:rPr>
              <w:t>序号</w:t>
            </w:r>
          </w:p>
        </w:tc>
        <w:tc>
          <w:tcPr>
            <w:tcW w:w="1694" w:type="dxa"/>
          </w:tcPr>
          <w:p>
            <w:pPr>
              <w:numPr>
                <w:ilvl w:val="0"/>
                <w:numId w:val="0"/>
              </w:numPr>
              <w:rPr>
                <w:rFonts w:hint="default"/>
                <w:sz w:val="28"/>
                <w:szCs w:val="32"/>
                <w:vertAlign w:val="baseline"/>
                <w:lang w:val="en-US" w:eastAsia="zh-CN"/>
              </w:rPr>
            </w:pPr>
            <w:r>
              <w:rPr>
                <w:rFonts w:hint="default"/>
                <w:sz w:val="28"/>
                <w:szCs w:val="32"/>
                <w:vertAlign w:val="baseline"/>
                <w:lang w:val="en-US" w:eastAsia="zh-CN"/>
              </w:rPr>
              <w:t>工作内容</w:t>
            </w:r>
          </w:p>
        </w:tc>
        <w:tc>
          <w:tcPr>
            <w:tcW w:w="2539" w:type="dxa"/>
          </w:tcPr>
          <w:p>
            <w:pPr>
              <w:numPr>
                <w:ilvl w:val="0"/>
                <w:numId w:val="0"/>
              </w:numPr>
              <w:rPr>
                <w:rFonts w:hint="default"/>
                <w:sz w:val="28"/>
                <w:szCs w:val="32"/>
                <w:vertAlign w:val="baseline"/>
                <w:lang w:val="en-US" w:eastAsia="zh-CN"/>
              </w:rPr>
            </w:pPr>
            <w:r>
              <w:rPr>
                <w:rFonts w:hint="default"/>
                <w:sz w:val="28"/>
                <w:szCs w:val="32"/>
                <w:vertAlign w:val="baseline"/>
                <w:lang w:val="en-US" w:eastAsia="zh-CN"/>
              </w:rPr>
              <w:t>规格型号</w:t>
            </w:r>
          </w:p>
        </w:tc>
        <w:tc>
          <w:tcPr>
            <w:tcW w:w="1705" w:type="dxa"/>
          </w:tcPr>
          <w:p>
            <w:pPr>
              <w:numPr>
                <w:ilvl w:val="0"/>
                <w:numId w:val="0"/>
              </w:numPr>
              <w:rPr>
                <w:rFonts w:hint="default"/>
                <w:sz w:val="28"/>
                <w:szCs w:val="32"/>
                <w:vertAlign w:val="baseline"/>
                <w:lang w:val="en-US" w:eastAsia="zh-CN"/>
              </w:rPr>
            </w:pPr>
            <w:r>
              <w:rPr>
                <w:rFonts w:hint="default"/>
                <w:sz w:val="28"/>
                <w:szCs w:val="32"/>
                <w:vertAlign w:val="baseline"/>
                <w:lang w:val="en-US" w:eastAsia="zh-CN"/>
              </w:rPr>
              <w:t>单位</w:t>
            </w:r>
          </w:p>
        </w:tc>
        <w:tc>
          <w:tcPr>
            <w:tcW w:w="1705" w:type="dxa"/>
          </w:tcPr>
          <w:p>
            <w:pPr>
              <w:numPr>
                <w:ilvl w:val="0"/>
                <w:numId w:val="0"/>
              </w:numPr>
              <w:rPr>
                <w:rFonts w:hint="default"/>
                <w:sz w:val="28"/>
                <w:szCs w:val="32"/>
                <w:vertAlign w:val="baseline"/>
                <w:lang w:val="en-US" w:eastAsia="zh-CN"/>
              </w:rPr>
            </w:pPr>
            <w:r>
              <w:rPr>
                <w:rFonts w:hint="default"/>
                <w:sz w:val="28"/>
                <w:szCs w:val="32"/>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变压器试验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1000kVA</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台</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高压柜试验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二次线检测</w:t>
            </w:r>
          </w:p>
        </w:tc>
        <w:tc>
          <w:tcPr>
            <w:tcW w:w="2539" w:type="dxa"/>
          </w:tcPr>
          <w:p>
            <w:pPr>
              <w:numPr>
                <w:ilvl w:val="0"/>
                <w:numId w:val="0"/>
              </w:numPr>
              <w:jc w:val="center"/>
              <w:rPr>
                <w:rFonts w:hint="eastAsia"/>
                <w:sz w:val="28"/>
                <w:szCs w:val="32"/>
                <w:vertAlign w:val="baseline"/>
                <w:lang w:val="en-US" w:eastAsia="zh-CN"/>
              </w:rPr>
            </w:pP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4</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继电保护</w:t>
            </w:r>
          </w:p>
        </w:tc>
        <w:tc>
          <w:tcPr>
            <w:tcW w:w="2539" w:type="dxa"/>
          </w:tcPr>
          <w:p>
            <w:pPr>
              <w:numPr>
                <w:ilvl w:val="0"/>
                <w:numId w:val="0"/>
              </w:numPr>
              <w:jc w:val="center"/>
              <w:rPr>
                <w:rFonts w:hint="eastAsia"/>
                <w:sz w:val="28"/>
                <w:szCs w:val="32"/>
                <w:vertAlign w:val="baseline"/>
                <w:lang w:val="en-US" w:eastAsia="zh-CN"/>
              </w:rPr>
            </w:pP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5</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电流互感器</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6</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母线试验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7</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避雷器试验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8</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电缆试验</w:t>
            </w:r>
          </w:p>
        </w:tc>
        <w:tc>
          <w:tcPr>
            <w:tcW w:w="2539"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20kV</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9</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接地试验</w:t>
            </w:r>
          </w:p>
        </w:tc>
        <w:tc>
          <w:tcPr>
            <w:tcW w:w="2539" w:type="dxa"/>
          </w:tcPr>
          <w:p>
            <w:pPr>
              <w:numPr>
                <w:ilvl w:val="0"/>
                <w:numId w:val="0"/>
              </w:numPr>
              <w:jc w:val="center"/>
              <w:rPr>
                <w:rFonts w:hint="eastAsia"/>
                <w:sz w:val="28"/>
                <w:szCs w:val="32"/>
                <w:vertAlign w:val="baseline"/>
                <w:lang w:val="en-US" w:eastAsia="zh-CN"/>
              </w:rPr>
            </w:pP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10</w:t>
            </w:r>
          </w:p>
        </w:tc>
        <w:tc>
          <w:tcPr>
            <w:tcW w:w="1694"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低压柜试验</w:t>
            </w:r>
          </w:p>
        </w:tc>
        <w:tc>
          <w:tcPr>
            <w:tcW w:w="2539" w:type="dxa"/>
          </w:tcPr>
          <w:p>
            <w:pPr>
              <w:numPr>
                <w:ilvl w:val="0"/>
                <w:numId w:val="0"/>
              </w:numPr>
              <w:jc w:val="center"/>
              <w:rPr>
                <w:rFonts w:hint="eastAsia"/>
                <w:sz w:val="28"/>
                <w:szCs w:val="32"/>
                <w:vertAlign w:val="baseline"/>
                <w:lang w:val="en-US" w:eastAsia="zh-CN"/>
              </w:rPr>
            </w:pP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项</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11</w:t>
            </w:r>
          </w:p>
        </w:tc>
        <w:tc>
          <w:tcPr>
            <w:tcW w:w="1694"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高配间全面检查</w:t>
            </w:r>
          </w:p>
        </w:tc>
        <w:tc>
          <w:tcPr>
            <w:tcW w:w="2539"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对高压配电间内全部设备、线缆的全面安全检查</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次</w:t>
            </w:r>
          </w:p>
        </w:tc>
        <w:tc>
          <w:tcPr>
            <w:tcW w:w="1705"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bl>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442" w:firstLineChars="200"/>
        <w:rPr>
          <w:rFonts w:hint="eastAsia" w:hAnsi="宋体"/>
          <w:b/>
          <w:bCs/>
          <w:color w:val="FF0000"/>
          <w:sz w:val="22"/>
          <w:szCs w:val="22"/>
          <w:lang w:val="en-US" w:eastAsia="zh-CN"/>
        </w:rPr>
      </w:pPr>
      <w:r>
        <w:rPr>
          <w:rFonts w:hint="eastAsia" w:hAnsi="宋体"/>
          <w:b/>
          <w:bCs/>
          <w:sz w:val="22"/>
          <w:szCs w:val="22"/>
        </w:rPr>
        <w:t>采购标的需满足的服务标准、期限、效率等要求</w:t>
      </w:r>
      <w:r>
        <w:rPr>
          <w:rFonts w:hint="eastAsia" w:hAnsi="宋体"/>
          <w:b/>
          <w:bCs/>
          <w:sz w:val="22"/>
          <w:szCs w:val="22"/>
          <w:lang w:val="en-US" w:eastAsia="zh-CN"/>
        </w:rPr>
        <w:t>，</w:t>
      </w:r>
      <w:r>
        <w:rPr>
          <w:rFonts w:hint="eastAsia" w:hAnsi="宋体"/>
          <w:b/>
          <w:bCs/>
          <w:color w:val="FF0000"/>
          <w:sz w:val="22"/>
          <w:szCs w:val="22"/>
          <w:lang w:val="en-US" w:eastAsia="zh-CN"/>
        </w:rPr>
        <w:t>高压配电间年度检测施工需要提供电力工程施工总承包资质三级及电力承装承修承试四级资质及以上资质。</w:t>
      </w:r>
    </w:p>
    <w:p>
      <w:pPr>
        <w:pStyle w:val="5"/>
        <w:snapToGrid w:val="0"/>
        <w:spacing w:before="120" w:after="120" w:line="440" w:lineRule="exact"/>
        <w:ind w:firstLine="442" w:firstLineChars="200"/>
        <w:rPr>
          <w:rFonts w:hint="default" w:hAnsi="宋体"/>
          <w:b/>
          <w:bCs/>
          <w:color w:val="FF0000"/>
          <w:sz w:val="22"/>
          <w:szCs w:val="22"/>
          <w:lang w:val="en-US" w:eastAsia="zh-CN"/>
        </w:rPr>
      </w:pPr>
      <w:r>
        <w:rPr>
          <w:rFonts w:hint="eastAsia" w:hAnsi="宋体"/>
          <w:b/>
          <w:bCs/>
          <w:color w:val="FF0000"/>
          <w:sz w:val="22"/>
          <w:szCs w:val="22"/>
          <w:lang w:val="en-US" w:eastAsia="zh-CN"/>
        </w:rPr>
        <w:t>高压配电间年度检测完毕后需要提供相应检测报告。</w:t>
      </w:r>
    </w:p>
    <w:p>
      <w:pPr>
        <w:spacing w:line="440" w:lineRule="exact"/>
        <w:ind w:firstLine="420" w:firstLineChars="200"/>
        <w:rPr>
          <w:rFonts w:ascii="宋体" w:hAnsi="宋体" w:eastAsia="宋体"/>
          <w:b/>
          <w:sz w:val="24"/>
          <w:szCs w:val="24"/>
        </w:rPr>
      </w:pPr>
      <w:r>
        <w:rPr>
          <w:rFonts w:hint="eastAsia" w:ascii="宋体" w:hAnsi="宋体" w:eastAsia="宋体"/>
        </w:rPr>
        <w:t>中标供应商须提供调试、培训、维护等服务，所有</w:t>
      </w:r>
      <w:r>
        <w:rPr>
          <w:rFonts w:hint="eastAsia" w:ascii="宋体" w:hAnsi="宋体" w:eastAsia="宋体"/>
          <w:lang w:val="en-US" w:eastAsia="zh-CN"/>
        </w:rPr>
        <w:t>高压配电间</w:t>
      </w:r>
      <w:r>
        <w:rPr>
          <w:rFonts w:hint="eastAsia" w:ascii="宋体" w:hAnsi="宋体" w:eastAsia="宋体"/>
        </w:rPr>
        <w:t>设备</w:t>
      </w:r>
      <w:r>
        <w:rPr>
          <w:rFonts w:hint="eastAsia" w:ascii="宋体" w:hAnsi="宋体" w:eastAsia="宋体"/>
          <w:lang w:val="en-US" w:eastAsia="zh-CN"/>
        </w:rPr>
        <w:t>需全面检测</w:t>
      </w:r>
      <w:r>
        <w:rPr>
          <w:rFonts w:hint="eastAsia" w:ascii="宋体" w:hAnsi="宋体" w:eastAsia="宋体"/>
        </w:rPr>
        <w:t>，</w:t>
      </w:r>
      <w:r>
        <w:rPr>
          <w:rFonts w:hint="eastAsia" w:ascii="宋体" w:hAnsi="宋体" w:eastAsia="宋体"/>
          <w:lang w:val="en-US" w:eastAsia="zh-CN"/>
        </w:rPr>
        <w:t>如出现设备</w:t>
      </w:r>
      <w:r>
        <w:rPr>
          <w:rFonts w:hint="eastAsia" w:ascii="宋体" w:hAnsi="宋体" w:eastAsia="宋体"/>
        </w:rPr>
        <w:t>维修只收材料</w:t>
      </w:r>
      <w:r>
        <w:rPr>
          <w:rFonts w:hint="eastAsia" w:ascii="宋体" w:hAnsi="宋体" w:eastAsia="宋体"/>
          <w:lang w:eastAsia="zh-CN"/>
        </w:rPr>
        <w:t>、</w:t>
      </w:r>
      <w:r>
        <w:rPr>
          <w:rFonts w:hint="eastAsia" w:ascii="宋体" w:hAnsi="宋体" w:eastAsia="宋体"/>
          <w:lang w:val="en-US" w:eastAsia="zh-CN"/>
        </w:rPr>
        <w:t>设备</w:t>
      </w:r>
      <w:r>
        <w:rPr>
          <w:rFonts w:hint="eastAsia" w:ascii="宋体" w:hAnsi="宋体" w:eastAsia="宋体"/>
        </w:rPr>
        <w:t>成本费。接到用户通知需</w:t>
      </w:r>
      <w:r>
        <w:rPr>
          <w:rFonts w:hint="eastAsia" w:ascii="宋体" w:hAnsi="宋体" w:eastAsia="宋体"/>
          <w:lang w:val="en-US" w:eastAsia="zh-CN"/>
        </w:rPr>
        <w:t>4</w:t>
      </w:r>
      <w:r>
        <w:rPr>
          <w:rFonts w:hint="eastAsia" w:ascii="宋体" w:hAnsi="宋体" w:eastAsia="宋体"/>
        </w:rPr>
        <w:t>小时内上门，</w:t>
      </w:r>
      <w:r>
        <w:rPr>
          <w:rFonts w:hint="eastAsia" w:ascii="宋体" w:hAnsi="宋体" w:eastAsia="宋体"/>
          <w:lang w:val="en-US" w:eastAsia="zh-CN"/>
        </w:rPr>
        <w:t>24</w:t>
      </w:r>
      <w:r>
        <w:rPr>
          <w:rFonts w:hint="eastAsia" w:ascii="宋体" w:hAnsi="宋体" w:eastAsia="宋体"/>
        </w:rPr>
        <w:t>小时内解决问题。</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南通开发区星湖小学高压配电间年度检测项目(二次)</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3"/>
              <w:adjustRightInd w:val="0"/>
              <w:snapToGrid w:val="0"/>
              <w:spacing w:line="300" w:lineRule="auto"/>
              <w:rPr>
                <w:rFonts w:ascii="宋体" w:hAnsi="宋体" w:eastAsia="宋体" w:cs="宋体"/>
                <w:kern w:val="2"/>
                <w:sz w:val="24"/>
                <w:szCs w:val="24"/>
              </w:rPr>
            </w:pP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南通开发区星湖小学高压配电间年度检测项目(二次)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南通开发区星湖小学高压配电间年度检测项目(二次)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B17AB8"/>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146D25"/>
    <w:rsid w:val="37F05A73"/>
    <w:rsid w:val="397B7834"/>
    <w:rsid w:val="3DA6550E"/>
    <w:rsid w:val="402E5098"/>
    <w:rsid w:val="403E55C3"/>
    <w:rsid w:val="40AD0506"/>
    <w:rsid w:val="417E5498"/>
    <w:rsid w:val="42204EB5"/>
    <w:rsid w:val="42DA39A5"/>
    <w:rsid w:val="42F950A7"/>
    <w:rsid w:val="447B1D0E"/>
    <w:rsid w:val="44BD69EB"/>
    <w:rsid w:val="46106D55"/>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9F79E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3902</Words>
  <Characters>4066</Characters>
  <Lines>78</Lines>
  <Paragraphs>22</Paragraphs>
  <TotalTime>173</TotalTime>
  <ScaleCrop>false</ScaleCrop>
  <LinksUpToDate>false</LinksUpToDate>
  <CharactersWithSpaces>5034</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2024-07-26T05:43:05Z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B6D3004D3DB04E848CD0AEE257C09AFF_13</vt:lpwstr>
  </property>
</Properties>
</file>