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rPr>
      </w:pPr>
    </w:p>
    <w:p>
      <w:pPr>
        <w:pStyle w:val="3"/>
        <w:ind w:left="0" w:leftChars="0"/>
        <w:rPr>
          <w:rFonts w:ascii="宋体" w:hAnsi="宋体" w:eastAsia="宋体"/>
        </w:rPr>
      </w:pPr>
    </w:p>
    <w:p>
      <w:pPr>
        <w:widowControl/>
        <w:jc w:val="left"/>
        <w:rPr>
          <w:rFonts w:ascii="宋体" w:hAnsi="宋体" w:eastAsia="宋体"/>
        </w:rPr>
      </w:pPr>
    </w:p>
    <w:p>
      <w:pPr>
        <w:pStyle w:val="20"/>
        <w:ind w:firstLine="0"/>
        <w:jc w:val="center"/>
        <w:rPr>
          <w:rFonts w:ascii="宋体" w:hAnsi="宋体"/>
          <w:b/>
          <w:bCs/>
          <w:sz w:val="52"/>
          <w:szCs w:val="52"/>
        </w:rPr>
      </w:pPr>
      <w:r>
        <w:rPr>
          <w:rFonts w:hint="eastAsia" w:ascii="宋体" w:hAnsi="宋体"/>
          <w:b/>
          <w:bCs/>
          <w:sz w:val="52"/>
          <w:szCs w:val="52"/>
          <w:lang w:eastAsia="zh-CN"/>
        </w:rPr>
        <w:t>南通开发区星湖小学电梯维护保养项目</w:t>
      </w:r>
    </w:p>
    <w:p>
      <w:pPr>
        <w:pStyle w:val="20"/>
        <w:ind w:firstLine="0"/>
        <w:jc w:val="center"/>
        <w:rPr>
          <w:rFonts w:ascii="宋体" w:hAnsi="宋体"/>
          <w:b/>
          <w:bCs/>
          <w:sz w:val="52"/>
          <w:szCs w:val="52"/>
        </w:rPr>
      </w:pPr>
    </w:p>
    <w:p>
      <w:pPr>
        <w:pStyle w:val="20"/>
        <w:ind w:firstLine="0"/>
        <w:jc w:val="center"/>
        <w:rPr>
          <w:rFonts w:ascii="宋体" w:hAnsi="宋体"/>
          <w:b/>
          <w:bCs/>
          <w:sz w:val="52"/>
          <w:szCs w:val="52"/>
        </w:rPr>
      </w:pPr>
    </w:p>
    <w:p>
      <w:pPr>
        <w:pStyle w:val="20"/>
        <w:ind w:firstLine="0"/>
        <w:jc w:val="center"/>
        <w:rPr>
          <w:rFonts w:ascii="宋体" w:hAnsi="宋体"/>
          <w:b/>
          <w:bCs/>
          <w:sz w:val="52"/>
          <w:szCs w:val="52"/>
        </w:rPr>
      </w:pPr>
      <w:r>
        <w:rPr>
          <w:rFonts w:hint="eastAsia" w:ascii="宋体" w:hAnsi="宋体"/>
          <w:b/>
          <w:bCs/>
          <w:sz w:val="52"/>
          <w:szCs w:val="52"/>
        </w:rPr>
        <w:t>询价采购文件</w:t>
      </w:r>
    </w:p>
    <w:p>
      <w:pPr>
        <w:pStyle w:val="20"/>
        <w:ind w:firstLine="0"/>
        <w:jc w:val="center"/>
        <w:rPr>
          <w:rFonts w:ascii="宋体" w:hAnsi="宋体"/>
          <w:b/>
          <w:bCs/>
          <w:sz w:val="84"/>
        </w:rPr>
      </w:pPr>
    </w:p>
    <w:p>
      <w:pPr>
        <w:pStyle w:val="20"/>
        <w:ind w:right="-907" w:rightChars="-432" w:firstLine="1372" w:firstLineChars="427"/>
        <w:jc w:val="center"/>
        <w:rPr>
          <w:rFonts w:ascii="宋体" w:hAnsi="宋体"/>
          <w:b/>
          <w:bCs/>
          <w:sz w:val="32"/>
        </w:rPr>
      </w:pPr>
    </w:p>
    <w:p>
      <w:pPr>
        <w:pStyle w:val="20"/>
        <w:ind w:firstLine="1372" w:firstLineChars="427"/>
        <w:jc w:val="center"/>
        <w:rPr>
          <w:rFonts w:ascii="宋体" w:hAnsi="宋体"/>
          <w:b/>
          <w:bCs/>
          <w:sz w:val="32"/>
        </w:rPr>
      </w:pPr>
    </w:p>
    <w:p>
      <w:pPr>
        <w:pStyle w:val="20"/>
        <w:ind w:firstLine="1372" w:firstLineChars="427"/>
        <w:jc w:val="center"/>
        <w:rPr>
          <w:rFonts w:ascii="宋体" w:hAnsi="宋体"/>
          <w:b/>
          <w:bCs/>
          <w:sz w:val="32"/>
        </w:rPr>
      </w:pPr>
    </w:p>
    <w:p>
      <w:pPr>
        <w:pStyle w:val="20"/>
        <w:ind w:left="0" w:leftChars="0" w:firstLine="0" w:firstLineChars="0"/>
        <w:jc w:val="center"/>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u w:val="single"/>
          <w:lang w:eastAsia="zh-CN"/>
        </w:rPr>
        <w:t>南通开发区星湖小学</w:t>
      </w:r>
    </w:p>
    <w:p>
      <w:pPr>
        <w:pStyle w:val="7"/>
        <w:spacing w:line="360" w:lineRule="auto"/>
        <w:ind w:firstLine="560"/>
        <w:jc w:val="center"/>
        <w:rPr>
          <w:rFonts w:ascii="宋体" w:hAnsi="宋体"/>
          <w:b/>
          <w:sz w:val="28"/>
          <w:szCs w:val="24"/>
        </w:rPr>
      </w:pPr>
    </w:p>
    <w:p>
      <w:pPr>
        <w:pStyle w:val="7"/>
        <w:spacing w:line="360" w:lineRule="auto"/>
        <w:jc w:val="center"/>
        <w:rPr>
          <w:rFonts w:ascii="宋体" w:hAnsi="宋体"/>
          <w:b/>
          <w:bCs/>
          <w:sz w:val="32"/>
          <w:szCs w:val="24"/>
        </w:rPr>
      </w:pPr>
      <w:r>
        <w:rPr>
          <w:rFonts w:hint="eastAsia" w:ascii="宋体" w:hAnsi="宋体"/>
          <w:b/>
          <w:bCs/>
          <w:sz w:val="32"/>
          <w:szCs w:val="24"/>
        </w:rPr>
        <w:t>日    期：202</w:t>
      </w:r>
      <w:r>
        <w:rPr>
          <w:rFonts w:hint="eastAsia" w:ascii="宋体" w:hAnsi="宋体"/>
          <w:b/>
          <w:bCs/>
          <w:sz w:val="32"/>
          <w:szCs w:val="24"/>
          <w:lang w:val="en-US" w:eastAsia="zh-CN"/>
        </w:rPr>
        <w:t>4</w:t>
      </w:r>
      <w:r>
        <w:rPr>
          <w:rFonts w:hint="eastAsia" w:ascii="宋体" w:hAnsi="宋体"/>
          <w:b/>
          <w:bCs/>
          <w:sz w:val="32"/>
          <w:szCs w:val="24"/>
        </w:rPr>
        <w:t>年</w:t>
      </w:r>
      <w:r>
        <w:rPr>
          <w:rFonts w:hint="eastAsia" w:ascii="宋体" w:hAnsi="宋体"/>
          <w:b/>
          <w:bCs/>
          <w:sz w:val="32"/>
          <w:szCs w:val="24"/>
          <w:lang w:val="en-US" w:eastAsia="zh-CN"/>
        </w:rPr>
        <w:t>8</w:t>
      </w:r>
      <w:r>
        <w:rPr>
          <w:rFonts w:hint="eastAsia" w:ascii="宋体" w:hAnsi="宋体"/>
          <w:b/>
          <w:bCs/>
          <w:sz w:val="32"/>
          <w:szCs w:val="24"/>
        </w:rPr>
        <w:t>月</w:t>
      </w:r>
      <w:r>
        <w:rPr>
          <w:rFonts w:hint="eastAsia" w:ascii="宋体" w:hAnsi="宋体"/>
          <w:b/>
          <w:bCs/>
          <w:sz w:val="32"/>
          <w:szCs w:val="24"/>
          <w:lang w:val="en-US" w:eastAsia="zh-CN"/>
        </w:rPr>
        <w:t>19</w:t>
      </w:r>
      <w:r>
        <w:rPr>
          <w:rFonts w:hint="eastAsia" w:ascii="宋体" w:hAnsi="宋体"/>
          <w:b/>
          <w:bCs/>
          <w:sz w:val="32"/>
          <w:szCs w:val="24"/>
        </w:rPr>
        <w:t>日</w:t>
      </w:r>
    </w:p>
    <w:p>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lang w:eastAsia="zh-CN"/>
        </w:rPr>
        <w:t>南通开发区星湖小学电梯维护保养项目</w:t>
      </w:r>
    </w:p>
    <w:p>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星湖小学电梯维护保养项目</w:t>
      </w:r>
      <w:r>
        <w:rPr>
          <w:rFonts w:hint="eastAsia" w:ascii="宋体" w:hAnsi="宋体" w:eastAsia="宋体"/>
          <w:sz w:val="24"/>
          <w:szCs w:val="24"/>
        </w:rPr>
        <w:t>潜在供应商应在供应商登陆南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4"/>
          <w:rFonts w:hint="eastAsia" w:ascii="宋体" w:hAnsi="宋体" w:eastAsia="宋体"/>
          <w:sz w:val="24"/>
          <w:szCs w:val="24"/>
          <w:highlight w:val="none"/>
        </w:rPr>
        <w:t>http://www.ntkfqjy.com/），下载询价文件，并于202</w:t>
      </w:r>
      <w:r>
        <w:rPr>
          <w:rStyle w:val="14"/>
          <w:rFonts w:hint="eastAsia" w:ascii="宋体" w:hAnsi="宋体" w:eastAsia="宋体"/>
          <w:sz w:val="24"/>
          <w:szCs w:val="24"/>
          <w:highlight w:val="none"/>
          <w:lang w:val="en-US" w:eastAsia="zh-CN"/>
        </w:rPr>
        <w:t>4</w:t>
      </w:r>
      <w:r>
        <w:rPr>
          <w:rStyle w:val="14"/>
          <w:rFonts w:hint="eastAsia" w:ascii="宋体" w:hAnsi="宋体" w:eastAsia="宋体"/>
          <w:bCs/>
          <w:sz w:val="24"/>
          <w:szCs w:val="24"/>
          <w:highlight w:val="none"/>
        </w:rPr>
        <w:t>年</w:t>
      </w:r>
      <w:r>
        <w:rPr>
          <w:rStyle w:val="14"/>
          <w:rFonts w:hint="eastAsia" w:ascii="宋体" w:hAnsi="宋体" w:eastAsia="宋体"/>
          <w:bCs/>
          <w:sz w:val="24"/>
          <w:szCs w:val="24"/>
          <w:highlight w:val="none"/>
          <w:lang w:val="en-US" w:eastAsia="zh-CN"/>
        </w:rPr>
        <w:t>8</w:t>
      </w:r>
      <w:r>
        <w:rPr>
          <w:rStyle w:val="14"/>
          <w:rFonts w:hint="eastAsia" w:ascii="宋体" w:hAnsi="宋体" w:eastAsia="宋体"/>
          <w:bCs/>
          <w:sz w:val="24"/>
          <w:szCs w:val="24"/>
          <w:highlight w:val="none"/>
        </w:rPr>
        <w:t>月</w:t>
      </w:r>
      <w:r>
        <w:rPr>
          <w:rStyle w:val="14"/>
          <w:rFonts w:hint="eastAsia" w:ascii="宋体" w:hAnsi="宋体" w:eastAsia="宋体"/>
          <w:bCs/>
          <w:sz w:val="24"/>
          <w:szCs w:val="24"/>
          <w:highlight w:val="none"/>
        </w:rPr>
        <w:fldChar w:fldCharType="end"/>
      </w:r>
      <w:r>
        <w:rPr>
          <w:rFonts w:hint="eastAsia" w:ascii="宋体" w:hAnsi="宋体" w:eastAsia="宋体"/>
          <w:bCs/>
          <w:color w:val="auto"/>
          <w:sz w:val="24"/>
          <w:szCs w:val="24"/>
          <w:highlight w:val="none"/>
          <w:u w:val="single"/>
          <w:lang w:val="en-US" w:eastAsia="zh-CN"/>
        </w:rPr>
        <w:t>23</w:t>
      </w:r>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10</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00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5"/>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eastAsia="zh-CN"/>
        </w:rPr>
        <w:t>南通开发区星湖小学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星湖小学电梯维护保养项目</w:t>
      </w:r>
      <w:r>
        <w:rPr>
          <w:rFonts w:hint="eastAsia" w:ascii="宋体" w:hAnsi="宋体" w:eastAsia="宋体" w:cs="仿宋"/>
          <w:sz w:val="24"/>
          <w:szCs w:val="24"/>
        </w:rPr>
        <w:t>实施询价采购，欢迎符合条件的供应商参加。</w:t>
      </w:r>
    </w:p>
    <w:p>
      <w:pPr>
        <w:pStyle w:val="5"/>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南通开发区星湖小学电梯维护保养项目</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lang w:val="en-US" w:eastAsia="zh-CN"/>
        </w:rPr>
        <w:t>1.8</w:t>
      </w:r>
      <w:r>
        <w:rPr>
          <w:rFonts w:hint="eastAsia" w:ascii="宋体" w:hAnsi="宋体" w:eastAsia="宋体"/>
          <w:sz w:val="24"/>
          <w:szCs w:val="24"/>
        </w:rPr>
        <w:t>万元</w:t>
      </w:r>
    </w:p>
    <w:p>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1.8</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、采购需求：</w:t>
      </w:r>
      <w:r>
        <w:rPr>
          <w:rFonts w:hint="eastAsia" w:ascii="宋体" w:hAnsi="宋体" w:eastAsia="宋体"/>
          <w:sz w:val="24"/>
          <w:szCs w:val="24"/>
          <w:lang w:eastAsia="zh-CN"/>
        </w:rPr>
        <w:t>星湖小学4台电梯的运行维护和日常保养</w:t>
      </w:r>
      <w:r>
        <w:rPr>
          <w:rFonts w:hint="eastAsia" w:ascii="宋体" w:hAnsi="宋体" w:eastAsia="宋体"/>
          <w:sz w:val="24"/>
          <w:szCs w:val="24"/>
        </w:rPr>
        <w:t>，详见附件。</w:t>
      </w:r>
    </w:p>
    <w:p>
      <w:pPr>
        <w:widowControl/>
        <w:snapToGrid w:val="0"/>
        <w:spacing w:line="440" w:lineRule="exact"/>
        <w:ind w:firstLine="480" w:firstLineChars="200"/>
        <w:jc w:val="left"/>
        <w:rPr>
          <w:rFonts w:hint="eastAsia" w:ascii="宋体" w:hAnsi="宋体" w:eastAsia="宋体"/>
          <w:sz w:val="24"/>
          <w:szCs w:val="24"/>
          <w:lang w:val="en-US" w:eastAsia="zh-CN"/>
        </w:rPr>
      </w:pPr>
      <w:r>
        <w:rPr>
          <w:rFonts w:ascii="宋体" w:hAnsi="宋体" w:eastAsia="宋体"/>
          <w:sz w:val="24"/>
          <w:szCs w:val="24"/>
        </w:rPr>
        <w:t>6</w:t>
      </w:r>
      <w:r>
        <w:rPr>
          <w:rFonts w:hint="eastAsia" w:ascii="宋体" w:hAnsi="宋体" w:eastAsia="宋体"/>
          <w:sz w:val="24"/>
          <w:szCs w:val="24"/>
        </w:rPr>
        <w:t>、</w:t>
      </w:r>
      <w:r>
        <w:rPr>
          <w:rFonts w:hint="eastAsia" w:ascii="宋体" w:hAnsi="宋体" w:eastAsia="宋体"/>
          <w:sz w:val="24"/>
          <w:szCs w:val="24"/>
          <w:lang w:val="en-US" w:eastAsia="zh-CN"/>
        </w:rPr>
        <w:t>合同履行期限：服务期三年，但合同一年一签。一年合同期满后，采购人对合同期内的服务履约情况满意的，则在第一年合同期满时，且双方愿意，成交供应商承诺不增加服务费用的前提下，双方可续签下一年度合同，但最多续签两次。如成交供应商在合同期内年度综合考核未达到采购人要求，则采购人不再与成交供应商续签合同，重新招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pPr>
        <w:widowControl/>
        <w:shd w:val="clear" w:color="auto" w:fill="FFFFFF"/>
        <w:spacing w:line="360" w:lineRule="auto"/>
        <w:ind w:firstLine="360" w:firstLineChars="150"/>
        <w:rPr>
          <w:rFonts w:ascii="宋体" w:hAnsi="宋体" w:eastAsia="宋体"/>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10"/>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10"/>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10"/>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10"/>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10"/>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10"/>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10"/>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10"/>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pPr>
        <w:pStyle w:val="10"/>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w:t>
      </w:r>
      <w:r>
        <w:rPr>
          <w:rFonts w:hint="eastAsia" w:cs="Times New Roman"/>
          <w:shd w:val="clear" w:color="auto" w:fill="FFFFFF"/>
          <w:lang w:val="en-US" w:eastAsia="zh-CN"/>
        </w:rPr>
        <w:t>需提交</w:t>
      </w:r>
      <w:r>
        <w:rPr>
          <w:rFonts w:hint="eastAsia" w:cs="Times New Roman"/>
          <w:shd w:val="clear" w:color="auto" w:fill="FFFFFF"/>
        </w:rPr>
        <w:t>符合《政府采购法》第二十二条规定条件的声明函</w:t>
      </w:r>
      <w:r>
        <w:rPr>
          <w:rFonts w:cs="Times New Roman"/>
          <w:shd w:val="clear" w:color="auto" w:fill="FFFFFF"/>
        </w:rPr>
        <w:t>（须加盖公章），格式见附件</w:t>
      </w:r>
      <w:r>
        <w:rPr>
          <w:rFonts w:hint="eastAsia" w:cs="Times New Roman"/>
          <w:shd w:val="clear" w:color="auto" w:fill="FFFFFF"/>
        </w:rPr>
        <w:t>；</w:t>
      </w:r>
    </w:p>
    <w:p>
      <w:pPr>
        <w:pStyle w:val="10"/>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pPr>
        <w:pStyle w:val="10"/>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pPr>
        <w:pStyle w:val="10"/>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rPr>
        <w:t>202</w:t>
      </w:r>
      <w:r>
        <w:rPr>
          <w:rFonts w:hint="eastAsia"/>
          <w:b/>
          <w:highlight w:val="none"/>
          <w:u w:val="single"/>
          <w:shd w:val="clear" w:color="auto" w:fill="FFFFFF"/>
          <w:lang w:val="en-US" w:eastAsia="zh-CN"/>
        </w:rPr>
        <w:t>4</w:t>
      </w:r>
      <w:r>
        <w:rPr>
          <w:rFonts w:hint="eastAsia"/>
          <w:b/>
          <w:highlight w:val="none"/>
          <w:shd w:val="clear" w:color="auto" w:fill="FFFFFF"/>
        </w:rPr>
        <w:t>年</w:t>
      </w:r>
      <w:r>
        <w:rPr>
          <w:rFonts w:hint="eastAsia"/>
          <w:b/>
          <w:highlight w:val="none"/>
          <w:u w:val="single"/>
          <w:shd w:val="clear" w:color="auto" w:fill="FFFFFF"/>
          <w:lang w:val="en-US" w:eastAsia="zh-CN"/>
        </w:rPr>
        <w:t>8</w:t>
      </w:r>
      <w:r>
        <w:rPr>
          <w:rFonts w:hint="eastAsia"/>
          <w:b/>
          <w:highlight w:val="none"/>
          <w:shd w:val="clear" w:color="auto" w:fill="FFFFFF"/>
        </w:rPr>
        <w:t>月</w:t>
      </w:r>
      <w:r>
        <w:rPr>
          <w:rFonts w:hint="eastAsia"/>
          <w:b/>
          <w:color w:val="auto"/>
          <w:highlight w:val="none"/>
          <w:u w:val="single"/>
          <w:shd w:val="clear" w:color="auto" w:fill="FFFFFF"/>
          <w:lang w:val="en-US" w:eastAsia="zh-CN"/>
        </w:rPr>
        <w:t>23日10点00分</w:t>
      </w:r>
      <w:r>
        <w:rPr>
          <w:rFonts w:hint="eastAsia"/>
          <w:highlight w:val="none"/>
          <w:shd w:val="clear" w:color="auto" w:fill="FFFFFF"/>
        </w:rPr>
        <w:t>，逾期送达的询价响应文件将不予接收。</w:t>
      </w:r>
    </w:p>
    <w:p>
      <w:pPr>
        <w:pStyle w:val="10"/>
        <w:shd w:val="clear" w:color="auto" w:fill="FFFFFF"/>
        <w:spacing w:before="0" w:beforeAutospacing="0" w:after="0" w:afterAutospacing="0" w:line="440" w:lineRule="exact"/>
        <w:rPr>
          <w:rFonts w:hint="default" w:eastAsia="宋体" w:cs="Times New Roman"/>
          <w:shd w:val="clear" w:color="auto" w:fill="FFFFFF"/>
          <w:lang w:val="en-US" w:eastAsia="zh-CN"/>
        </w:rPr>
      </w:pPr>
      <w:r>
        <w:rPr>
          <w:rFonts w:hint="eastAsia"/>
          <w:highlight w:val="none"/>
          <w:shd w:val="clear" w:color="auto" w:fill="FFFFFF"/>
        </w:rPr>
        <w:t>地点：</w:t>
      </w:r>
      <w:r>
        <w:rPr>
          <w:rFonts w:hint="eastAsia" w:cs="Times New Roman"/>
          <w:shd w:val="clear" w:color="auto" w:fill="FFFFFF"/>
        </w:rPr>
        <w:t>南通经济技术开发区星湖小学林翠路39号</w:t>
      </w:r>
      <w:r>
        <w:rPr>
          <w:rFonts w:hint="eastAsia" w:cs="Times New Roman"/>
          <w:shd w:val="clear" w:color="auto" w:fill="FFFFFF"/>
          <w:lang w:val="en-US" w:eastAsia="zh-CN"/>
        </w:rPr>
        <w:t>党支部活动室</w:t>
      </w:r>
    </w:p>
    <w:p>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rPr>
        <w:t>202</w:t>
      </w:r>
      <w:r>
        <w:rPr>
          <w:rFonts w:hint="eastAsia" w:ascii="宋体" w:hAnsi="宋体" w:eastAsia="宋体"/>
          <w:b/>
          <w:sz w:val="24"/>
          <w:szCs w:val="24"/>
          <w:highlight w:val="none"/>
          <w:u w:val="single"/>
          <w:lang w:val="en-US" w:eastAsia="zh-CN"/>
        </w:rPr>
        <w:t>4</w:t>
      </w:r>
      <w:r>
        <w:rPr>
          <w:rFonts w:hint="eastAsia" w:ascii="宋体" w:hAnsi="宋体" w:eastAsia="宋体"/>
          <w:b/>
          <w:sz w:val="24"/>
          <w:szCs w:val="24"/>
          <w:highlight w:val="none"/>
          <w:u w:val="single"/>
        </w:rPr>
        <w:t>年</w:t>
      </w:r>
      <w:r>
        <w:rPr>
          <w:rFonts w:hint="eastAsia" w:ascii="宋体" w:hAnsi="宋体" w:eastAsia="宋体"/>
          <w:b/>
          <w:sz w:val="24"/>
          <w:szCs w:val="24"/>
          <w:highlight w:val="none"/>
          <w:u w:val="single"/>
          <w:lang w:val="en-US" w:eastAsia="zh-CN"/>
        </w:rPr>
        <w:t>8</w:t>
      </w:r>
      <w:r>
        <w:rPr>
          <w:rFonts w:hint="eastAsia" w:ascii="宋体" w:hAnsi="宋体" w:eastAsia="宋体"/>
          <w:b/>
          <w:sz w:val="24"/>
          <w:szCs w:val="24"/>
          <w:highlight w:val="none"/>
          <w:u w:val="single"/>
        </w:rPr>
        <w:t>月</w:t>
      </w:r>
      <w:r>
        <w:rPr>
          <w:rFonts w:hint="eastAsia" w:ascii="宋体" w:hAnsi="宋体" w:eastAsia="宋体"/>
          <w:b/>
          <w:sz w:val="24"/>
          <w:szCs w:val="24"/>
          <w:highlight w:val="none"/>
          <w:u w:val="single"/>
          <w:lang w:val="en-US" w:eastAsia="zh-CN"/>
        </w:rPr>
        <w:t>23</w:t>
      </w:r>
      <w:bookmarkStart w:id="2" w:name="_GoBack"/>
      <w:bookmarkEnd w:id="2"/>
      <w:r>
        <w:rPr>
          <w:rFonts w:hint="eastAsia" w:ascii="宋体" w:hAnsi="宋体" w:eastAsia="宋体"/>
          <w:b/>
          <w:sz w:val="24"/>
          <w:szCs w:val="24"/>
          <w:highlight w:val="none"/>
          <w:u w:val="single"/>
          <w:lang w:val="en-US" w:eastAsia="zh-CN"/>
        </w:rPr>
        <w:t>日10点00分</w:t>
      </w:r>
    </w:p>
    <w:p>
      <w:pPr>
        <w:pStyle w:val="10"/>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自本公告发布之日起3个工作日。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10"/>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2、网上报价为项目的总价，不得将项目拆分或选择性报价；</w:t>
      </w:r>
    </w:p>
    <w:p>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10"/>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10"/>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10"/>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10"/>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eastAsia="zh-CN"/>
        </w:rPr>
        <w:t>南通开发区星湖小学</w:t>
      </w:r>
    </w:p>
    <w:p>
      <w:pPr>
        <w:pStyle w:val="10"/>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联系人：</w:t>
      </w:r>
      <w:r>
        <w:rPr>
          <w:rFonts w:hint="eastAsia" w:cs="Times New Roman"/>
          <w:bCs/>
          <w:kern w:val="2"/>
          <w:lang w:val="en-US" w:eastAsia="zh-CN"/>
        </w:rPr>
        <w:t>徐</w:t>
      </w:r>
      <w:r>
        <w:rPr>
          <w:rFonts w:hint="eastAsia" w:cs="Times New Roman"/>
          <w:bCs/>
          <w:kern w:val="2"/>
          <w:lang w:eastAsia="zh-CN"/>
        </w:rPr>
        <w:t>老师</w:t>
      </w:r>
      <w:r>
        <w:rPr>
          <w:rFonts w:hint="eastAsia" w:cs="Times New Roman"/>
          <w:bCs/>
          <w:kern w:val="2"/>
          <w:lang w:val="en-US" w:eastAsia="zh-CN"/>
        </w:rPr>
        <w:t xml:space="preserve">  </w:t>
      </w:r>
      <w:r>
        <w:rPr>
          <w:rFonts w:hint="eastAsia" w:cs="Times New Roman"/>
          <w:b/>
          <w:bCs/>
          <w:kern w:val="2"/>
        </w:rPr>
        <w:t>联系电话：</w:t>
      </w:r>
      <w:r>
        <w:rPr>
          <w:rFonts w:hint="eastAsia" w:cs="宋体"/>
          <w:sz w:val="24"/>
          <w:szCs w:val="24"/>
          <w:lang w:val="en-US" w:eastAsia="zh-CN"/>
        </w:rPr>
        <w:t>13962741259</w:t>
      </w:r>
    </w:p>
    <w:p>
      <w:pPr>
        <w:pStyle w:val="20"/>
        <w:ind w:right="964" w:firstLine="0"/>
        <w:jc w:val="right"/>
        <w:rPr>
          <w:rFonts w:hint="eastAsia" w:eastAsia="宋体"/>
          <w:lang w:eastAsia="zh-CN"/>
        </w:rPr>
      </w:pPr>
      <w:r>
        <w:rPr>
          <w:rFonts w:hint="eastAsia"/>
          <w:lang w:eastAsia="zh-CN"/>
        </w:rPr>
        <w:t>南通开发区星湖小学</w:t>
      </w:r>
    </w:p>
    <w:p>
      <w:pPr>
        <w:pStyle w:val="20"/>
        <w:ind w:right="964" w:firstLine="0"/>
        <w:jc w:val="right"/>
        <w:rPr>
          <w:rFonts w:ascii="宋体" w:hAnsi="宋体"/>
          <w:b/>
          <w:kern w:val="2"/>
        </w:rPr>
      </w:pPr>
      <w:r>
        <w:rPr>
          <w:rFonts w:hint="eastAsia" w:ascii="宋体" w:hAnsi="宋体"/>
          <w:b/>
          <w:kern w:val="2"/>
        </w:rPr>
        <w:t>202</w:t>
      </w:r>
      <w:r>
        <w:rPr>
          <w:rFonts w:hint="eastAsia" w:ascii="宋体" w:hAnsi="宋体"/>
          <w:b/>
          <w:kern w:val="2"/>
          <w:lang w:val="en-US" w:eastAsia="zh-CN"/>
        </w:rPr>
        <w:t>4</w:t>
      </w:r>
      <w:r>
        <w:rPr>
          <w:rFonts w:hint="eastAsia" w:ascii="宋体" w:hAnsi="宋体"/>
          <w:b/>
          <w:kern w:val="2"/>
        </w:rPr>
        <w:t>年</w:t>
      </w:r>
      <w:r>
        <w:rPr>
          <w:rFonts w:hint="eastAsia" w:ascii="宋体" w:hAnsi="宋体"/>
          <w:b/>
          <w:kern w:val="2"/>
          <w:lang w:val="en-US" w:eastAsia="zh-CN"/>
        </w:rPr>
        <w:t>8</w:t>
      </w:r>
      <w:r>
        <w:rPr>
          <w:rFonts w:hint="eastAsia" w:ascii="宋体" w:hAnsi="宋体"/>
          <w:b/>
          <w:kern w:val="2"/>
        </w:rPr>
        <w:t>月</w:t>
      </w:r>
      <w:r>
        <w:rPr>
          <w:rFonts w:hint="eastAsia" w:ascii="宋体" w:hAnsi="宋体"/>
          <w:b/>
          <w:kern w:val="2"/>
          <w:lang w:val="en-US" w:eastAsia="zh-CN"/>
        </w:rPr>
        <w:t>19</w:t>
      </w:r>
      <w:r>
        <w:rPr>
          <w:rFonts w:hint="eastAsia" w:ascii="宋体" w:hAnsi="宋体"/>
          <w:b/>
          <w:kern w:val="2"/>
        </w:rPr>
        <w:t>日</w:t>
      </w:r>
      <w:bookmarkEnd w:id="0"/>
    </w:p>
    <w:p>
      <w:pPr>
        <w:pStyle w:val="20"/>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p>
      <w:pPr>
        <w:numPr>
          <w:ilvl w:val="0"/>
          <w:numId w:val="0"/>
        </w:numPr>
        <w:rPr>
          <w:rFonts w:hint="eastAsia" w:ascii="黑体" w:hAnsi="黑体" w:eastAsia="黑体" w:cs="黑体"/>
          <w:b/>
          <w:bCs/>
          <w:lang w:val="en-US" w:eastAsia="zh-CN"/>
        </w:rPr>
      </w:pPr>
      <w:bookmarkStart w:id="1" w:name="_Toc482279881"/>
    </w:p>
    <w:p>
      <w:pPr>
        <w:snapToGrid w:val="0"/>
        <w:spacing w:line="460" w:lineRule="exact"/>
        <w:ind w:firstLine="422" w:firstLineChars="200"/>
        <w:rPr>
          <w:rFonts w:ascii="宋体" w:hAnsi="宋体" w:cs="宋体"/>
          <w:b/>
          <w:bCs/>
          <w:kern w:val="0"/>
          <w:szCs w:val="21"/>
        </w:rPr>
      </w:pPr>
      <w:r>
        <w:rPr>
          <w:rFonts w:hint="eastAsia" w:ascii="宋体" w:hAnsi="宋体" w:cs="宋体"/>
          <w:b/>
          <w:bCs/>
          <w:kern w:val="0"/>
          <w:szCs w:val="21"/>
        </w:rPr>
        <w:t>项目具体需求说明：</w:t>
      </w:r>
    </w:p>
    <w:p>
      <w:pPr>
        <w:adjustRightInd w:val="0"/>
        <w:snapToGrid w:val="0"/>
        <w:spacing w:line="460" w:lineRule="exact"/>
        <w:ind w:firstLine="420" w:firstLineChars="200"/>
        <w:jc w:val="left"/>
        <w:rPr>
          <w:rFonts w:ascii="宋体" w:hAnsi="宋体"/>
          <w:szCs w:val="21"/>
        </w:rPr>
      </w:pPr>
      <w:r>
        <w:rPr>
          <w:rFonts w:hint="eastAsia" w:ascii="宋体" w:hAnsi="宋体"/>
          <w:szCs w:val="21"/>
        </w:rPr>
        <w:t>（一）</w:t>
      </w:r>
      <w:r>
        <w:rPr>
          <w:rFonts w:ascii="宋体" w:hAnsi="宋体"/>
          <w:szCs w:val="21"/>
        </w:rPr>
        <w:t>采购标的需实现的功能或者目标</w:t>
      </w:r>
      <w:r>
        <w:rPr>
          <w:rFonts w:hint="eastAsia" w:ascii="宋体" w:hAnsi="宋体"/>
          <w:szCs w:val="21"/>
        </w:rPr>
        <w:t>：</w:t>
      </w:r>
    </w:p>
    <w:p>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1.电梯:</w:t>
      </w:r>
    </w:p>
    <w:p>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1）安全部件:制动器各销轴部位、制动器间隙、限速器各销轴部位、轿顶检修和急停开关、轿厢检修和急停开关、轿门安全装置(安全触板,光幕、光电等)、轿门门锁电气触点、层门门锁电气触点、底坑急停开关、制动衬、验证轿门关闭的电气安全装置、限速器轮槽、限速器张紧轮装置和电气安全装置、制动器上检测开关、上下极限开关、制动器铁芯(柱塞)、制动器制动弹簧压缩量、限速器安全钳联动、上行超速保护装置、轿厢称重装置、安全钳钳座等安全部件的检查、调整、清洁、润滑和更换。</w:t>
      </w:r>
    </w:p>
    <w:p>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2）机房:机房滑轮间环境、手动紧急操作装置、曳引机各销轴部位、编码器、曳引轮槽、电动机与减速机联轴器螺栓、曳引轮和导向轮轴承部、控制柜内各接线端子、控制柜各仪表、减速机内齿轮油、控制柜接触器和继电器触点、导电回路绝缘性等机房部件的检查调整、清洁、润滑和更换。</w:t>
      </w:r>
    </w:p>
    <w:p>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w:t>
      </w:r>
      <w:r>
        <w:rPr>
          <w:rFonts w:ascii="宋体" w:hAnsi="宋体"/>
          <w:szCs w:val="21"/>
        </w:rPr>
        <w:t>3</w:t>
      </w:r>
      <w:r>
        <w:rPr>
          <w:rFonts w:hint="eastAsia" w:ascii="宋体" w:hAnsi="宋体"/>
          <w:szCs w:val="21"/>
        </w:rPr>
        <w:t>）轿厢:轿顶环境、导靴上油杯、轿厢风扇、应急照明、轿内报警装置、对讲系统、轿内显示、指令按钮、轿门在开启和关闭时的状况、轿厢平层精度、位置脉冲发生器、导靴靴衬或滚轮、各反绳轮轴承部、轿顶和轿厢架和轿门及其附件安装螺栓、轿底各安装螺栓等轿厢部件的检查、调整、清洁、润滑和更换。</w:t>
      </w:r>
    </w:p>
    <w:p>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w:t>
      </w:r>
      <w:r>
        <w:rPr>
          <w:rFonts w:ascii="宋体" w:hAnsi="宋体"/>
          <w:szCs w:val="21"/>
        </w:rPr>
        <w:t>4</w:t>
      </w:r>
      <w:r>
        <w:rPr>
          <w:rFonts w:hint="eastAsia" w:ascii="宋体" w:hAnsi="宋体"/>
          <w:szCs w:val="21"/>
        </w:rPr>
        <w:t>）井道:对重块及压板、井道照明、层站召唤、层楼显示、层门地坎、层门自动关门装置、层门门锁自动复位、层门锁紧元件啮合长度、层门和轿门系统中传动钢丝绳或链条或胶带、层门门导靴、消防开关、补偿链(绳)与轿厢和对重的连接处、轿厢和对重的导轨支架、轿厢和对重的导轨、随行电缆、层门装置等井道部件的检杳、调整、清洁、润滑和更换。</w:t>
      </w:r>
    </w:p>
    <w:p>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（4）底坑:底坑环境、缓冲器、对重缓冲距等底坑部件的检查、调整、清洁、润滑和更换曳引钢丝绳或曳引钢带、补偿钢丝绳、补偿链、限速器钢丝绳、曳引绳头组合的检查、调整、清洁、润滑和更换。</w:t>
      </w:r>
    </w:p>
    <w:p>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w:t>
      </w:r>
      <w:r>
        <w:rPr>
          <w:rFonts w:ascii="宋体" w:hAnsi="宋体"/>
          <w:szCs w:val="21"/>
        </w:rPr>
        <w:t>5</w:t>
      </w:r>
      <w:r>
        <w:rPr>
          <w:rFonts w:hint="eastAsia" w:ascii="宋体" w:hAnsi="宋体"/>
          <w:szCs w:val="21"/>
        </w:rPr>
        <w:t>）轿厢围壁、包括固定或可移动的面板、门面板、轿门扇、吊顶、轿厢照明、厅门扇、门框及地坎的检查。机房温度、齿轮箱、齿轮箱轴承、油封、查看故障记录、限速器护罩和楔块、轿门、开门机、厅门导轨、隔光板或磁条、E&amp;I操纵盘、地坎护板、控制柜内保险、电子板和风扇、变频器、交/直流转换驱动器、可控硅、曳引轮防护、井道开关和换速开关、钢带PPT、补偿绳绳轮、补偿链防晃器、轿顶接线盒、安全钳开关及轴销、控制柜防尘网、电刷和换向器、曳引机固定螺栓和减震胶垫等部件的检查、调整、清洁和更换。</w:t>
      </w:r>
    </w:p>
    <w:p>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中标人须按照合同条款，保留现行的工程线路图。中标人须以设备安装时的国家安全标准维护甲方的电梯。当国家有关电梯安全的法规或标准发生改变时，按改变后的法规或标准执行。中标人须保留例行保养记录。</w:t>
      </w:r>
    </w:p>
    <w:p>
      <w:pPr>
        <w:adjustRightInd w:val="0"/>
        <w:snapToGrid w:val="0"/>
        <w:spacing w:line="460" w:lineRule="exact"/>
        <w:ind w:firstLine="420" w:firstLineChars="200"/>
        <w:jc w:val="left"/>
        <w:rPr>
          <w:rFonts w:hint="eastAsia" w:ascii="宋体" w:hAnsi="宋体"/>
          <w:szCs w:val="21"/>
        </w:rPr>
      </w:pPr>
      <w:r>
        <w:rPr>
          <w:rFonts w:ascii="宋体" w:hAnsi="宋体"/>
          <w:szCs w:val="21"/>
        </w:rPr>
        <w:t>2</w:t>
      </w:r>
      <w:r>
        <w:rPr>
          <w:rFonts w:hint="eastAsia" w:ascii="宋体" w:hAnsi="宋体"/>
          <w:szCs w:val="21"/>
        </w:rPr>
        <w:t>.备件和零件</w:t>
      </w:r>
    </w:p>
    <w:p>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（1）为甲方储存合理数量的专用备件和更换零件以满足维修时效要求。当发现电梯部件依靠日常维护保养不能安全运行时,经双方确认后对相应部件进行修理或更换。</w:t>
      </w:r>
    </w:p>
    <w:p>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（2）对于本合同内包含的配件实行免费送货上门。</w:t>
      </w:r>
    </w:p>
    <w:p>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（3）下列外围设备和辅助周边设备将不在本合同之内：</w:t>
      </w:r>
    </w:p>
    <w:p>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电梯地面装饰及其它建筑装饰和配件;从配电房至机房的供电装置、通讯设备、保安系统等非中标人提供的设备及电梯井道机房之外的电线。</w:t>
      </w:r>
    </w:p>
    <w:p>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（4）中标人须承担因中标人原因所造成的直接损失。</w:t>
      </w:r>
    </w:p>
    <w:p>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在电梯维保过程中，电梯维保单位提出的任何需要更换的零、配件均必须得到采购人确认，确保原装正品，必要时采购人可请技术检测部门鉴定。</w:t>
      </w:r>
    </w:p>
    <w:p>
      <w:pPr>
        <w:adjustRightInd w:val="0"/>
        <w:snapToGrid w:val="0"/>
        <w:spacing w:line="460" w:lineRule="exact"/>
        <w:ind w:firstLine="420" w:firstLineChars="200"/>
        <w:jc w:val="left"/>
        <w:rPr>
          <w:rFonts w:ascii="宋体" w:hAnsi="宋体"/>
          <w:szCs w:val="21"/>
        </w:rPr>
      </w:pPr>
      <w:r>
        <w:rPr>
          <w:rFonts w:hint="eastAsia" w:ascii="宋体" w:hAnsi="宋体"/>
          <w:szCs w:val="21"/>
        </w:rPr>
        <w:t>（二）采购标的需执行的国家相关标准、行业标准、地方标准或者其他标准、规范：</w:t>
      </w:r>
    </w:p>
    <w:p>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采购标的的技术标准按国家标准执行，无国家标准的，按行业标准执行，无国家和行业标准的，按企业标准执行。</w:t>
      </w:r>
    </w:p>
    <w:p>
      <w:pPr>
        <w:adjustRightInd w:val="0"/>
        <w:snapToGrid w:val="0"/>
        <w:spacing w:line="460" w:lineRule="exact"/>
        <w:ind w:firstLine="420" w:firstLineChars="200"/>
        <w:jc w:val="left"/>
        <w:rPr>
          <w:rFonts w:ascii="宋体" w:hAnsi="宋体"/>
          <w:szCs w:val="21"/>
        </w:rPr>
      </w:pPr>
      <w:r>
        <w:rPr>
          <w:rFonts w:ascii="宋体" w:hAnsi="宋体"/>
          <w:szCs w:val="21"/>
        </w:rPr>
        <w:t>（</w:t>
      </w:r>
      <w:r>
        <w:rPr>
          <w:rFonts w:hint="eastAsia" w:ascii="宋体" w:hAnsi="宋体"/>
          <w:szCs w:val="21"/>
        </w:rPr>
        <w:t>三</w:t>
      </w:r>
      <w:r>
        <w:rPr>
          <w:rFonts w:ascii="宋体" w:hAnsi="宋体"/>
          <w:szCs w:val="21"/>
        </w:rPr>
        <w:t>）采购标的需满足的质量、安全、技术规格、物理特性等要求</w:t>
      </w:r>
      <w:r>
        <w:rPr>
          <w:rFonts w:hint="eastAsia" w:ascii="宋体" w:hAnsi="宋体"/>
          <w:szCs w:val="21"/>
        </w:rPr>
        <w:t>：</w:t>
      </w:r>
    </w:p>
    <w:p>
      <w:pPr>
        <w:adjustRightInd w:val="0"/>
        <w:snapToGrid w:val="0"/>
        <w:spacing w:line="460" w:lineRule="exact"/>
        <w:jc w:val="center"/>
        <w:rPr>
          <w:rFonts w:hint="eastAsia" w:ascii="宋体" w:hAnsi="宋体"/>
          <w:szCs w:val="21"/>
        </w:rPr>
      </w:pPr>
      <w:r>
        <w:rPr>
          <w:rFonts w:hint="eastAsia" w:ascii="宋体" w:hAnsi="宋体"/>
          <w:szCs w:val="21"/>
        </w:rPr>
        <w:t>电梯相关参数</w:t>
      </w:r>
    </w:p>
    <w:tbl>
      <w:tblPr>
        <w:tblStyle w:val="11"/>
        <w:tblW w:w="865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670"/>
        <w:gridCol w:w="1336"/>
        <w:gridCol w:w="1624"/>
        <w:gridCol w:w="853"/>
        <w:gridCol w:w="1137"/>
        <w:gridCol w:w="1172"/>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4" w:hRule="atLeast"/>
        </w:trPr>
        <w:tc>
          <w:tcPr>
            <w:tcW w:w="1670" w:type="dxa"/>
            <w:noWrap w:val="0"/>
            <w:tcMar>
              <w:top w:w="0" w:type="dxa"/>
              <w:left w:w="108" w:type="dxa"/>
              <w:bottom w:w="0" w:type="dxa"/>
              <w:right w:w="108" w:type="dxa"/>
            </w:tcMar>
            <w:vAlign w:val="center"/>
          </w:tcPr>
          <w:p>
            <w:pPr>
              <w:widowControl/>
              <w:jc w:val="center"/>
              <w:rPr>
                <w:rFonts w:hint="eastAsia" w:ascii="宋体" w:hAnsi="宋体" w:cs="宋体"/>
                <w:szCs w:val="21"/>
              </w:rPr>
            </w:pPr>
            <w:r>
              <w:rPr>
                <w:rFonts w:ascii="宋体" w:hAnsi="宋体" w:cs="Arial"/>
                <w:kern w:val="0"/>
                <w:szCs w:val="21"/>
                <w:lang w:bidi="ar"/>
              </w:rPr>
              <w:t>梯号</w:t>
            </w:r>
          </w:p>
        </w:tc>
        <w:tc>
          <w:tcPr>
            <w:tcW w:w="1336" w:type="dxa"/>
            <w:noWrap w:val="0"/>
            <w:tcMar>
              <w:top w:w="0" w:type="dxa"/>
              <w:left w:w="108" w:type="dxa"/>
              <w:bottom w:w="0" w:type="dxa"/>
              <w:right w:w="108" w:type="dxa"/>
            </w:tcMar>
            <w:vAlign w:val="center"/>
          </w:tcPr>
          <w:p>
            <w:pPr>
              <w:widowControl/>
              <w:jc w:val="center"/>
              <w:rPr>
                <w:rFonts w:hint="eastAsia" w:ascii="宋体" w:hAnsi="宋体" w:cs="宋体"/>
                <w:szCs w:val="21"/>
              </w:rPr>
            </w:pPr>
            <w:r>
              <w:rPr>
                <w:rFonts w:ascii="宋体" w:hAnsi="宋体" w:cs="Arial"/>
                <w:kern w:val="0"/>
                <w:szCs w:val="21"/>
                <w:lang w:bidi="ar"/>
              </w:rPr>
              <w:t>设备名称</w:t>
            </w:r>
          </w:p>
        </w:tc>
        <w:tc>
          <w:tcPr>
            <w:tcW w:w="1624" w:type="dxa"/>
            <w:noWrap w:val="0"/>
            <w:tcMar>
              <w:top w:w="0" w:type="dxa"/>
              <w:left w:w="108" w:type="dxa"/>
              <w:bottom w:w="0" w:type="dxa"/>
              <w:right w:w="108" w:type="dxa"/>
            </w:tcMar>
            <w:vAlign w:val="center"/>
          </w:tcPr>
          <w:p>
            <w:pPr>
              <w:widowControl/>
              <w:jc w:val="center"/>
              <w:rPr>
                <w:rFonts w:hint="eastAsia" w:ascii="宋体" w:hAnsi="宋体" w:cs="宋体"/>
                <w:szCs w:val="21"/>
              </w:rPr>
            </w:pPr>
            <w:r>
              <w:rPr>
                <w:rFonts w:ascii="宋体" w:hAnsi="宋体" w:cs="Arial"/>
                <w:kern w:val="0"/>
                <w:szCs w:val="21"/>
                <w:lang w:bidi="ar"/>
              </w:rPr>
              <w:t>规格型号</w:t>
            </w:r>
          </w:p>
        </w:tc>
        <w:tc>
          <w:tcPr>
            <w:tcW w:w="853" w:type="dxa"/>
            <w:noWrap w:val="0"/>
            <w:tcMar>
              <w:top w:w="0" w:type="dxa"/>
              <w:left w:w="108" w:type="dxa"/>
              <w:bottom w:w="0" w:type="dxa"/>
              <w:right w:w="108" w:type="dxa"/>
            </w:tcMar>
            <w:vAlign w:val="center"/>
          </w:tcPr>
          <w:p>
            <w:pPr>
              <w:widowControl/>
              <w:jc w:val="center"/>
              <w:rPr>
                <w:rFonts w:hint="eastAsia" w:ascii="宋体" w:hAnsi="宋体" w:cs="宋体"/>
                <w:szCs w:val="21"/>
              </w:rPr>
            </w:pPr>
            <w:r>
              <w:rPr>
                <w:rFonts w:ascii="宋体" w:hAnsi="宋体" w:cs="Arial"/>
                <w:kern w:val="0"/>
                <w:szCs w:val="21"/>
                <w:lang w:bidi="ar"/>
              </w:rPr>
              <w:t>层站</w:t>
            </w:r>
          </w:p>
        </w:tc>
        <w:tc>
          <w:tcPr>
            <w:tcW w:w="1137" w:type="dxa"/>
            <w:noWrap w:val="0"/>
            <w:tcMar>
              <w:top w:w="0" w:type="dxa"/>
              <w:left w:w="108" w:type="dxa"/>
              <w:bottom w:w="0" w:type="dxa"/>
              <w:right w:w="108" w:type="dxa"/>
            </w:tcMar>
            <w:vAlign w:val="center"/>
          </w:tcPr>
          <w:p>
            <w:pPr>
              <w:widowControl/>
              <w:jc w:val="center"/>
              <w:rPr>
                <w:rFonts w:hint="eastAsia" w:ascii="宋体" w:hAnsi="宋体" w:cs="宋体"/>
                <w:szCs w:val="21"/>
              </w:rPr>
            </w:pPr>
            <w:r>
              <w:rPr>
                <w:rFonts w:ascii="宋体" w:hAnsi="宋体" w:cs="Arial"/>
                <w:kern w:val="0"/>
                <w:szCs w:val="21"/>
                <w:lang w:bidi="ar"/>
              </w:rPr>
              <w:t>载重</w:t>
            </w:r>
            <w:r>
              <w:rPr>
                <w:rFonts w:hint="eastAsia" w:ascii="宋体" w:hAnsi="宋体" w:cs="宋体"/>
                <w:kern w:val="0"/>
                <w:szCs w:val="21"/>
                <w:lang w:bidi="ar"/>
              </w:rPr>
              <w:t>（</w:t>
            </w:r>
            <w:r>
              <w:rPr>
                <w:rFonts w:ascii="宋体" w:hAnsi="宋体" w:cs="Arial"/>
                <w:kern w:val="0"/>
                <w:szCs w:val="21"/>
                <w:lang w:bidi="ar"/>
              </w:rPr>
              <w:t>kg</w:t>
            </w:r>
            <w:r>
              <w:rPr>
                <w:rFonts w:hint="eastAsia" w:ascii="宋体" w:hAnsi="宋体" w:cs="宋体"/>
                <w:kern w:val="0"/>
                <w:szCs w:val="21"/>
                <w:lang w:bidi="ar"/>
              </w:rPr>
              <w:t>）</w:t>
            </w:r>
          </w:p>
        </w:tc>
        <w:tc>
          <w:tcPr>
            <w:tcW w:w="1172" w:type="dxa"/>
            <w:noWrap w:val="0"/>
            <w:tcMar>
              <w:top w:w="0" w:type="dxa"/>
              <w:left w:w="108" w:type="dxa"/>
              <w:bottom w:w="0" w:type="dxa"/>
              <w:right w:w="108" w:type="dxa"/>
            </w:tcMar>
            <w:vAlign w:val="center"/>
          </w:tcPr>
          <w:p>
            <w:pPr>
              <w:widowControl/>
              <w:jc w:val="center"/>
              <w:rPr>
                <w:rFonts w:ascii="宋体" w:hAnsi="宋体"/>
                <w:szCs w:val="21"/>
              </w:rPr>
            </w:pPr>
            <w:r>
              <w:rPr>
                <w:rFonts w:ascii="宋体" w:hAnsi="宋体" w:cs="Arial"/>
                <w:kern w:val="0"/>
                <w:szCs w:val="21"/>
                <w:lang w:bidi="ar"/>
              </w:rPr>
              <w:t> 速度</w:t>
            </w:r>
          </w:p>
          <w:p>
            <w:pPr>
              <w:widowControl/>
              <w:jc w:val="center"/>
              <w:rPr>
                <w:rFonts w:hint="eastAsia" w:ascii="宋体" w:hAnsi="宋体" w:cs="宋体"/>
                <w:szCs w:val="21"/>
              </w:rPr>
            </w:pPr>
            <w:r>
              <w:rPr>
                <w:rFonts w:hint="eastAsia" w:ascii="宋体" w:hAnsi="宋体" w:cs="宋体"/>
                <w:kern w:val="0"/>
                <w:szCs w:val="21"/>
                <w:lang w:bidi="ar"/>
              </w:rPr>
              <w:t>（</w:t>
            </w:r>
            <w:r>
              <w:rPr>
                <w:rFonts w:ascii="宋体" w:hAnsi="宋体" w:cs="Arial"/>
                <w:kern w:val="0"/>
                <w:szCs w:val="21"/>
                <w:lang w:bidi="ar"/>
              </w:rPr>
              <w:t>m/s</w:t>
            </w:r>
            <w:r>
              <w:rPr>
                <w:rFonts w:hint="eastAsia" w:ascii="宋体" w:hAnsi="宋体" w:cs="宋体"/>
                <w:kern w:val="0"/>
                <w:szCs w:val="21"/>
                <w:lang w:bidi="ar"/>
              </w:rPr>
              <w:t>）</w:t>
            </w:r>
          </w:p>
        </w:tc>
        <w:tc>
          <w:tcPr>
            <w:tcW w:w="866" w:type="dxa"/>
            <w:noWrap w:val="0"/>
            <w:tcMar>
              <w:top w:w="0" w:type="dxa"/>
              <w:left w:w="108" w:type="dxa"/>
              <w:bottom w:w="0" w:type="dxa"/>
              <w:right w:w="108" w:type="dxa"/>
            </w:tcMar>
            <w:vAlign w:val="center"/>
          </w:tcPr>
          <w:p>
            <w:pPr>
              <w:widowControl/>
              <w:jc w:val="center"/>
              <w:rPr>
                <w:rFonts w:hint="eastAsia" w:ascii="宋体" w:hAnsi="宋体" w:cs="宋体"/>
                <w:szCs w:val="21"/>
              </w:rPr>
            </w:pPr>
            <w:r>
              <w:rPr>
                <w:rFonts w:ascii="宋体" w:hAnsi="宋体" w:cs="Arial"/>
                <w:kern w:val="0"/>
                <w:szCs w:val="21"/>
                <w:lang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1" w:hRule="atLeast"/>
        </w:trPr>
        <w:tc>
          <w:tcPr>
            <w:tcW w:w="1670" w:type="dxa"/>
            <w:noWrap w:val="0"/>
            <w:tcMar>
              <w:top w:w="0" w:type="dxa"/>
              <w:left w:w="108" w:type="dxa"/>
              <w:bottom w:w="0" w:type="dxa"/>
              <w:right w:w="108" w:type="dxa"/>
            </w:tcMar>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1136874826</w:t>
            </w:r>
          </w:p>
        </w:tc>
        <w:tc>
          <w:tcPr>
            <w:tcW w:w="1336" w:type="dxa"/>
            <w:noWrap w:val="0"/>
            <w:tcMar>
              <w:top w:w="0" w:type="dxa"/>
              <w:left w:w="108" w:type="dxa"/>
              <w:bottom w:w="0" w:type="dxa"/>
              <w:right w:w="108" w:type="dxa"/>
            </w:tcMar>
            <w:vAlign w:val="center"/>
          </w:tcPr>
          <w:p>
            <w:pPr>
              <w:widowControl/>
              <w:jc w:val="center"/>
              <w:rPr>
                <w:rFonts w:hint="eastAsia" w:ascii="宋体" w:hAnsi="宋体" w:cs="宋体"/>
                <w:szCs w:val="21"/>
              </w:rPr>
            </w:pPr>
            <w:r>
              <w:rPr>
                <w:rFonts w:hint="eastAsia" w:ascii="宋体" w:hAnsi="宋体" w:cs="宋体"/>
                <w:kern w:val="0"/>
                <w:szCs w:val="21"/>
                <w:lang w:bidi="ar"/>
              </w:rPr>
              <w:t>无机房</w:t>
            </w:r>
          </w:p>
          <w:p>
            <w:pPr>
              <w:widowControl/>
              <w:jc w:val="center"/>
              <w:rPr>
                <w:rFonts w:hint="eastAsia" w:ascii="宋体" w:hAnsi="宋体" w:cs="宋体"/>
                <w:szCs w:val="21"/>
              </w:rPr>
            </w:pPr>
            <w:r>
              <w:rPr>
                <w:rFonts w:hint="eastAsia" w:ascii="宋体" w:hAnsi="宋体" w:cs="宋体"/>
                <w:kern w:val="0"/>
                <w:szCs w:val="21"/>
                <w:lang w:bidi="ar"/>
              </w:rPr>
              <w:t>乘客电梯</w:t>
            </w:r>
          </w:p>
        </w:tc>
        <w:tc>
          <w:tcPr>
            <w:tcW w:w="1624" w:type="dxa"/>
            <w:noWrap w:val="0"/>
            <w:tcMar>
              <w:top w:w="0" w:type="dxa"/>
              <w:left w:w="108" w:type="dxa"/>
              <w:bottom w:w="0" w:type="dxa"/>
              <w:right w:w="108" w:type="dxa"/>
            </w:tcMar>
            <w:vAlign w:val="center"/>
          </w:tcPr>
          <w:p>
            <w:pPr>
              <w:widowControl/>
              <w:jc w:val="center"/>
              <w:rPr>
                <w:rFonts w:hint="eastAsia" w:ascii="宋体" w:hAnsi="宋体" w:cs="宋体"/>
                <w:szCs w:val="21"/>
              </w:rPr>
            </w:pPr>
            <w:r>
              <w:rPr>
                <w:rFonts w:hint="eastAsia" w:ascii="宋体" w:hAnsi="宋体" w:cs="宋体"/>
                <w:kern w:val="0"/>
                <w:szCs w:val="21"/>
                <w:lang w:bidi="ar"/>
              </w:rPr>
              <w:t>KONE MonoSpace</w:t>
            </w:r>
          </w:p>
        </w:tc>
        <w:tc>
          <w:tcPr>
            <w:tcW w:w="853" w:type="dxa"/>
            <w:noWrap w:val="0"/>
            <w:tcMar>
              <w:top w:w="0" w:type="dxa"/>
              <w:left w:w="108" w:type="dxa"/>
              <w:bottom w:w="0" w:type="dxa"/>
              <w:right w:w="108"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4/4</w:t>
            </w:r>
          </w:p>
        </w:tc>
        <w:tc>
          <w:tcPr>
            <w:tcW w:w="1137" w:type="dxa"/>
            <w:noWrap w:val="0"/>
            <w:tcMar>
              <w:top w:w="0" w:type="dxa"/>
              <w:left w:w="108" w:type="dxa"/>
              <w:bottom w:w="0" w:type="dxa"/>
              <w:right w:w="108"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1000</w:t>
            </w:r>
          </w:p>
        </w:tc>
        <w:tc>
          <w:tcPr>
            <w:tcW w:w="1172" w:type="dxa"/>
            <w:noWrap w:val="0"/>
            <w:tcMar>
              <w:top w:w="0" w:type="dxa"/>
              <w:left w:w="108" w:type="dxa"/>
              <w:bottom w:w="0" w:type="dxa"/>
              <w:right w:w="108"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1.6</w:t>
            </w:r>
          </w:p>
        </w:tc>
        <w:tc>
          <w:tcPr>
            <w:tcW w:w="866" w:type="dxa"/>
            <w:noWrap w:val="0"/>
            <w:tcMar>
              <w:top w:w="0" w:type="dxa"/>
              <w:left w:w="108" w:type="dxa"/>
              <w:bottom w:w="0" w:type="dxa"/>
              <w:right w:w="108" w:type="dxa"/>
            </w:tcMar>
            <w:vAlign w:val="center"/>
          </w:tcPr>
          <w:p>
            <w:pPr>
              <w:widowControl/>
              <w:jc w:val="center"/>
              <w:rPr>
                <w:rFonts w:hint="eastAsia" w:ascii="宋体" w:hAnsi="宋体" w:cs="宋体"/>
                <w:szCs w:val="21"/>
              </w:rPr>
            </w:pPr>
            <w:r>
              <w:rPr>
                <w:rFonts w:hint="eastAsia" w:ascii="宋体" w:hAnsi="宋体" w:cs="宋体"/>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4" w:hRule="atLeast"/>
        </w:trPr>
        <w:tc>
          <w:tcPr>
            <w:tcW w:w="1670" w:type="dxa"/>
            <w:noWrap w:val="0"/>
            <w:tcMar>
              <w:top w:w="0" w:type="dxa"/>
              <w:left w:w="108" w:type="dxa"/>
              <w:bottom w:w="0" w:type="dxa"/>
              <w:right w:w="108" w:type="dxa"/>
            </w:tcMar>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1136874825</w:t>
            </w:r>
          </w:p>
        </w:tc>
        <w:tc>
          <w:tcPr>
            <w:tcW w:w="1336" w:type="dxa"/>
            <w:noWrap w:val="0"/>
            <w:tcMar>
              <w:top w:w="0" w:type="dxa"/>
              <w:left w:w="108" w:type="dxa"/>
              <w:bottom w:w="0" w:type="dxa"/>
              <w:right w:w="108" w:type="dxa"/>
            </w:tcMar>
            <w:vAlign w:val="center"/>
          </w:tcPr>
          <w:p>
            <w:pPr>
              <w:widowControl/>
              <w:jc w:val="center"/>
              <w:rPr>
                <w:rFonts w:hint="eastAsia" w:ascii="宋体" w:hAnsi="宋体" w:cs="宋体"/>
                <w:szCs w:val="21"/>
              </w:rPr>
            </w:pPr>
            <w:r>
              <w:rPr>
                <w:rFonts w:hint="eastAsia" w:ascii="宋体" w:hAnsi="宋体" w:cs="宋体"/>
                <w:kern w:val="0"/>
                <w:szCs w:val="21"/>
                <w:lang w:bidi="ar"/>
              </w:rPr>
              <w:t>无机房</w:t>
            </w:r>
          </w:p>
          <w:p>
            <w:pPr>
              <w:widowControl/>
              <w:jc w:val="center"/>
              <w:rPr>
                <w:rFonts w:hint="eastAsia" w:ascii="宋体" w:hAnsi="宋体" w:cs="宋体"/>
                <w:szCs w:val="21"/>
              </w:rPr>
            </w:pPr>
            <w:r>
              <w:rPr>
                <w:rFonts w:hint="eastAsia" w:ascii="宋体" w:hAnsi="宋体" w:cs="宋体"/>
                <w:kern w:val="0"/>
                <w:szCs w:val="21"/>
                <w:lang w:bidi="ar"/>
              </w:rPr>
              <w:t>乘客电梯</w:t>
            </w:r>
          </w:p>
        </w:tc>
        <w:tc>
          <w:tcPr>
            <w:tcW w:w="1624" w:type="dxa"/>
            <w:noWrap w:val="0"/>
            <w:tcMar>
              <w:top w:w="0" w:type="dxa"/>
              <w:left w:w="108" w:type="dxa"/>
              <w:bottom w:w="0" w:type="dxa"/>
              <w:right w:w="108" w:type="dxa"/>
            </w:tcMar>
            <w:vAlign w:val="center"/>
          </w:tcPr>
          <w:p>
            <w:pPr>
              <w:widowControl/>
              <w:jc w:val="center"/>
              <w:rPr>
                <w:rFonts w:hint="eastAsia" w:ascii="宋体" w:hAnsi="宋体" w:cs="宋体"/>
                <w:szCs w:val="21"/>
              </w:rPr>
            </w:pPr>
            <w:r>
              <w:rPr>
                <w:rFonts w:hint="eastAsia" w:ascii="宋体" w:hAnsi="宋体" w:cs="宋体"/>
                <w:kern w:val="0"/>
                <w:szCs w:val="21"/>
                <w:lang w:bidi="ar"/>
              </w:rPr>
              <w:t>KONE MonoSpace</w:t>
            </w:r>
          </w:p>
        </w:tc>
        <w:tc>
          <w:tcPr>
            <w:tcW w:w="853" w:type="dxa"/>
            <w:noWrap w:val="0"/>
            <w:tcMar>
              <w:top w:w="0" w:type="dxa"/>
              <w:left w:w="108" w:type="dxa"/>
              <w:bottom w:w="0" w:type="dxa"/>
              <w:right w:w="108"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4/4</w:t>
            </w:r>
          </w:p>
        </w:tc>
        <w:tc>
          <w:tcPr>
            <w:tcW w:w="1137" w:type="dxa"/>
            <w:noWrap w:val="0"/>
            <w:tcMar>
              <w:top w:w="0" w:type="dxa"/>
              <w:left w:w="108" w:type="dxa"/>
              <w:bottom w:w="0" w:type="dxa"/>
              <w:right w:w="108"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1000</w:t>
            </w:r>
          </w:p>
        </w:tc>
        <w:tc>
          <w:tcPr>
            <w:tcW w:w="1172" w:type="dxa"/>
            <w:noWrap w:val="0"/>
            <w:tcMar>
              <w:top w:w="0" w:type="dxa"/>
              <w:left w:w="108" w:type="dxa"/>
              <w:bottom w:w="0" w:type="dxa"/>
              <w:right w:w="108"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1.6</w:t>
            </w:r>
          </w:p>
        </w:tc>
        <w:tc>
          <w:tcPr>
            <w:tcW w:w="866" w:type="dxa"/>
            <w:noWrap w:val="0"/>
            <w:tcMar>
              <w:top w:w="0" w:type="dxa"/>
              <w:left w:w="108" w:type="dxa"/>
              <w:bottom w:w="0" w:type="dxa"/>
              <w:right w:w="108" w:type="dxa"/>
            </w:tcMar>
            <w:vAlign w:val="center"/>
          </w:tcPr>
          <w:p>
            <w:pPr>
              <w:widowControl/>
              <w:jc w:val="center"/>
              <w:rPr>
                <w:rFonts w:hint="eastAsia" w:ascii="宋体" w:hAnsi="宋体" w:cs="宋体"/>
                <w:szCs w:val="21"/>
              </w:rPr>
            </w:pPr>
            <w:r>
              <w:rPr>
                <w:rFonts w:hint="eastAsia" w:ascii="宋体" w:hAnsi="宋体" w:cs="宋体"/>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4" w:hRule="atLeast"/>
        </w:trPr>
        <w:tc>
          <w:tcPr>
            <w:tcW w:w="1670" w:type="dxa"/>
            <w:noWrap w:val="0"/>
            <w:tcMar>
              <w:top w:w="0" w:type="dxa"/>
              <w:left w:w="108" w:type="dxa"/>
              <w:bottom w:w="0" w:type="dxa"/>
              <w:right w:w="108" w:type="dxa"/>
            </w:tcMar>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LE19078-B</w:t>
            </w:r>
          </w:p>
        </w:tc>
        <w:tc>
          <w:tcPr>
            <w:tcW w:w="1336" w:type="dxa"/>
            <w:noWrap w:val="0"/>
            <w:tcMar>
              <w:top w:w="0" w:type="dxa"/>
              <w:left w:w="108" w:type="dxa"/>
              <w:bottom w:w="0" w:type="dxa"/>
              <w:right w:w="108" w:type="dxa"/>
            </w:tcMar>
            <w:vAlign w:val="center"/>
          </w:tcPr>
          <w:p>
            <w:pPr>
              <w:widowControl/>
              <w:jc w:val="center"/>
              <w:rPr>
                <w:rFonts w:hint="eastAsia" w:ascii="宋体" w:hAnsi="宋体" w:cs="宋体"/>
                <w:szCs w:val="21"/>
              </w:rPr>
            </w:pPr>
            <w:r>
              <w:rPr>
                <w:rFonts w:hint="eastAsia" w:ascii="宋体" w:hAnsi="宋体" w:cs="宋体"/>
                <w:kern w:val="0"/>
                <w:szCs w:val="21"/>
                <w:lang w:bidi="ar"/>
              </w:rPr>
              <w:t>杂物电梯</w:t>
            </w:r>
          </w:p>
        </w:tc>
        <w:tc>
          <w:tcPr>
            <w:tcW w:w="1624" w:type="dxa"/>
            <w:noWrap w:val="0"/>
            <w:tcMar>
              <w:top w:w="0" w:type="dxa"/>
              <w:left w:w="108" w:type="dxa"/>
              <w:bottom w:w="0" w:type="dxa"/>
              <w:right w:w="108" w:type="dxa"/>
            </w:tcMar>
            <w:vAlign w:val="center"/>
          </w:tcPr>
          <w:p>
            <w:pPr>
              <w:widowControl/>
              <w:jc w:val="center"/>
              <w:rPr>
                <w:rFonts w:hint="eastAsia" w:ascii="宋体" w:hAnsi="宋体" w:cs="宋体"/>
                <w:szCs w:val="21"/>
              </w:rPr>
            </w:pPr>
            <w:r>
              <w:rPr>
                <w:rFonts w:hint="eastAsia" w:ascii="宋体" w:hAnsi="宋体" w:cs="宋体"/>
                <w:kern w:val="0"/>
                <w:szCs w:val="21"/>
                <w:lang w:bidi="ar"/>
              </w:rPr>
              <w:t>TW12-200</w:t>
            </w:r>
          </w:p>
        </w:tc>
        <w:tc>
          <w:tcPr>
            <w:tcW w:w="853" w:type="dxa"/>
            <w:noWrap w:val="0"/>
            <w:tcMar>
              <w:top w:w="0" w:type="dxa"/>
              <w:left w:w="108" w:type="dxa"/>
              <w:bottom w:w="0" w:type="dxa"/>
              <w:right w:w="108"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2/2</w:t>
            </w:r>
          </w:p>
        </w:tc>
        <w:tc>
          <w:tcPr>
            <w:tcW w:w="1137" w:type="dxa"/>
            <w:noWrap w:val="0"/>
            <w:tcMar>
              <w:top w:w="0" w:type="dxa"/>
              <w:left w:w="108" w:type="dxa"/>
              <w:bottom w:w="0" w:type="dxa"/>
              <w:right w:w="108"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200</w:t>
            </w:r>
          </w:p>
        </w:tc>
        <w:tc>
          <w:tcPr>
            <w:tcW w:w="1172" w:type="dxa"/>
            <w:noWrap w:val="0"/>
            <w:tcMar>
              <w:top w:w="0" w:type="dxa"/>
              <w:left w:w="108" w:type="dxa"/>
              <w:bottom w:w="0" w:type="dxa"/>
              <w:right w:w="108"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0.3</w:t>
            </w:r>
          </w:p>
        </w:tc>
        <w:tc>
          <w:tcPr>
            <w:tcW w:w="866" w:type="dxa"/>
            <w:noWrap w:val="0"/>
            <w:tcMar>
              <w:top w:w="0" w:type="dxa"/>
              <w:left w:w="108" w:type="dxa"/>
              <w:bottom w:w="0" w:type="dxa"/>
              <w:right w:w="108" w:type="dxa"/>
            </w:tcMar>
            <w:vAlign w:val="center"/>
          </w:tcPr>
          <w:p>
            <w:pPr>
              <w:widowControl/>
              <w:jc w:val="center"/>
              <w:rPr>
                <w:rFonts w:hint="eastAsia" w:ascii="宋体" w:hAnsi="宋体" w:cs="宋体"/>
                <w:szCs w:val="21"/>
              </w:rPr>
            </w:pPr>
            <w:r>
              <w:rPr>
                <w:rFonts w:hint="eastAsia" w:ascii="宋体" w:hAnsi="宋体" w:cs="宋体"/>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3" w:hRule="atLeast"/>
        </w:trPr>
        <w:tc>
          <w:tcPr>
            <w:tcW w:w="1670" w:type="dxa"/>
            <w:noWrap w:val="0"/>
            <w:tcMar>
              <w:top w:w="0" w:type="dxa"/>
              <w:left w:w="108" w:type="dxa"/>
              <w:bottom w:w="0" w:type="dxa"/>
              <w:right w:w="108" w:type="dxa"/>
            </w:tcMar>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LE19078-A</w:t>
            </w:r>
          </w:p>
        </w:tc>
        <w:tc>
          <w:tcPr>
            <w:tcW w:w="1336" w:type="dxa"/>
            <w:noWrap w:val="0"/>
            <w:tcMar>
              <w:top w:w="0" w:type="dxa"/>
              <w:left w:w="108" w:type="dxa"/>
              <w:bottom w:w="0" w:type="dxa"/>
              <w:right w:w="108" w:type="dxa"/>
            </w:tcMar>
            <w:vAlign w:val="center"/>
          </w:tcPr>
          <w:p>
            <w:pPr>
              <w:widowControl/>
              <w:jc w:val="center"/>
              <w:rPr>
                <w:rFonts w:hint="eastAsia" w:ascii="宋体" w:hAnsi="宋体" w:cs="宋体"/>
                <w:szCs w:val="21"/>
              </w:rPr>
            </w:pPr>
            <w:r>
              <w:rPr>
                <w:rFonts w:hint="eastAsia" w:ascii="宋体" w:hAnsi="宋体" w:cs="宋体"/>
                <w:kern w:val="0"/>
                <w:szCs w:val="21"/>
                <w:lang w:bidi="ar"/>
              </w:rPr>
              <w:t>杂物电梯</w:t>
            </w:r>
          </w:p>
        </w:tc>
        <w:tc>
          <w:tcPr>
            <w:tcW w:w="1624" w:type="dxa"/>
            <w:noWrap w:val="0"/>
            <w:tcMar>
              <w:top w:w="0" w:type="dxa"/>
              <w:left w:w="108" w:type="dxa"/>
              <w:bottom w:w="0" w:type="dxa"/>
              <w:right w:w="108" w:type="dxa"/>
            </w:tcMar>
            <w:vAlign w:val="center"/>
          </w:tcPr>
          <w:p>
            <w:pPr>
              <w:widowControl/>
              <w:jc w:val="center"/>
              <w:rPr>
                <w:rFonts w:hint="eastAsia" w:ascii="宋体" w:hAnsi="宋体" w:cs="宋体"/>
                <w:szCs w:val="21"/>
              </w:rPr>
            </w:pPr>
            <w:r>
              <w:rPr>
                <w:rFonts w:hint="eastAsia" w:ascii="宋体" w:hAnsi="宋体" w:cs="宋体"/>
                <w:kern w:val="0"/>
                <w:szCs w:val="21"/>
                <w:lang w:bidi="ar"/>
              </w:rPr>
              <w:t>TW12-200</w:t>
            </w:r>
          </w:p>
        </w:tc>
        <w:tc>
          <w:tcPr>
            <w:tcW w:w="853" w:type="dxa"/>
            <w:noWrap w:val="0"/>
            <w:tcMar>
              <w:top w:w="0" w:type="dxa"/>
              <w:left w:w="108" w:type="dxa"/>
              <w:bottom w:w="0" w:type="dxa"/>
              <w:right w:w="108"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2/2</w:t>
            </w:r>
          </w:p>
        </w:tc>
        <w:tc>
          <w:tcPr>
            <w:tcW w:w="1137" w:type="dxa"/>
            <w:noWrap w:val="0"/>
            <w:tcMar>
              <w:top w:w="0" w:type="dxa"/>
              <w:left w:w="108" w:type="dxa"/>
              <w:bottom w:w="0" w:type="dxa"/>
              <w:right w:w="108"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200</w:t>
            </w:r>
          </w:p>
        </w:tc>
        <w:tc>
          <w:tcPr>
            <w:tcW w:w="1172" w:type="dxa"/>
            <w:noWrap w:val="0"/>
            <w:tcMar>
              <w:top w:w="0" w:type="dxa"/>
              <w:left w:w="108" w:type="dxa"/>
              <w:bottom w:w="0" w:type="dxa"/>
              <w:right w:w="108"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0.3</w:t>
            </w:r>
          </w:p>
        </w:tc>
        <w:tc>
          <w:tcPr>
            <w:tcW w:w="866" w:type="dxa"/>
            <w:noWrap w:val="0"/>
            <w:tcMar>
              <w:top w:w="0" w:type="dxa"/>
              <w:left w:w="108" w:type="dxa"/>
              <w:bottom w:w="0" w:type="dxa"/>
              <w:right w:w="108" w:type="dxa"/>
            </w:tcMar>
            <w:vAlign w:val="center"/>
          </w:tcPr>
          <w:p>
            <w:pPr>
              <w:widowControl/>
              <w:jc w:val="center"/>
              <w:rPr>
                <w:rFonts w:hint="eastAsia" w:ascii="宋体" w:hAnsi="宋体" w:cs="宋体"/>
                <w:szCs w:val="21"/>
              </w:rPr>
            </w:pPr>
            <w:r>
              <w:rPr>
                <w:rFonts w:hint="eastAsia" w:ascii="宋体" w:hAnsi="宋体" w:cs="宋体"/>
                <w:kern w:val="0"/>
                <w:szCs w:val="21"/>
                <w:lang w:bidi="ar"/>
              </w:rPr>
              <w:t>1</w:t>
            </w:r>
          </w:p>
        </w:tc>
      </w:tr>
    </w:tbl>
    <w:p>
      <w:pPr>
        <w:adjustRightInd w:val="0"/>
        <w:snapToGrid w:val="0"/>
        <w:spacing w:line="460" w:lineRule="exact"/>
        <w:ind w:firstLine="420" w:firstLineChars="200"/>
        <w:jc w:val="left"/>
        <w:rPr>
          <w:rFonts w:ascii="宋体" w:hAnsi="宋体"/>
          <w:szCs w:val="21"/>
        </w:rPr>
      </w:pPr>
      <w:r>
        <w:rPr>
          <w:rFonts w:ascii="宋体" w:hAnsi="宋体"/>
          <w:szCs w:val="21"/>
        </w:rPr>
        <w:t>（</w:t>
      </w:r>
      <w:r>
        <w:rPr>
          <w:rFonts w:hint="eastAsia" w:ascii="宋体" w:hAnsi="宋体"/>
          <w:szCs w:val="21"/>
        </w:rPr>
        <w:t>四</w:t>
      </w:r>
      <w:r>
        <w:rPr>
          <w:rFonts w:ascii="宋体" w:hAnsi="宋体"/>
          <w:szCs w:val="21"/>
        </w:rPr>
        <w:t>）采购标的的数量、采购项目交付或者实施的时间和地点</w:t>
      </w:r>
      <w:r>
        <w:rPr>
          <w:rFonts w:hint="eastAsia" w:ascii="宋体" w:hAnsi="宋体"/>
          <w:szCs w:val="21"/>
        </w:rPr>
        <w:t>：</w:t>
      </w:r>
    </w:p>
    <w:p>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中标人须提供政府相关部门关于电梯维护保养规定的所有保养工作。保养工作均在正常工作时间(除周六日及法定节假日)内进行,中标人提供24小时的应急响应服务，相关费用包含在本合同价款中。中标人接到甲方紧急报修后或接到故障或事故报警后15分钟内到达现场，并能提供正常连续的服务直至故障或事故排除。对电梯困人事故要求在到达现场后20分钟内把乘客从轿厢中救出、对非电子板原因的常见故障要求在60分钟内排除，对电子板原因的故障应在普遍认可的合理时间内解决。对特殊原因故障原则要求48小时内排除。中标人须针对困人故障进行回访。</w:t>
      </w:r>
    </w:p>
    <w:p>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负责甲方电梯通过年检,完成年检中发生的属本合同范围内的整改工作。</w:t>
      </w:r>
    </w:p>
    <w:p>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中标人须投保工作人员的人身意外保险,以及产品责任险和公众责任险。</w:t>
      </w:r>
    </w:p>
    <w:p>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中标人须自行配备工作所需的工具及设备,保养时设置现场安全警示标志。</w:t>
      </w:r>
    </w:p>
    <w:p>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中标人每年需配合学校做好特种设备电梯培训及应急演练工作。电梯设备一机一档，配合学校做好材料归档工作。</w:t>
      </w:r>
    </w:p>
    <w:p>
      <w:pPr>
        <w:adjustRightInd w:val="0"/>
        <w:snapToGrid w:val="0"/>
        <w:spacing w:line="460" w:lineRule="exact"/>
        <w:ind w:firstLine="420" w:firstLineChars="200"/>
        <w:jc w:val="left"/>
        <w:rPr>
          <w:rFonts w:ascii="宋体" w:hAnsi="宋体"/>
          <w:szCs w:val="21"/>
        </w:rPr>
      </w:pPr>
      <w:r>
        <w:rPr>
          <w:rFonts w:ascii="宋体" w:hAnsi="宋体"/>
          <w:szCs w:val="21"/>
        </w:rPr>
        <w:t>（</w:t>
      </w:r>
      <w:r>
        <w:rPr>
          <w:rFonts w:hint="eastAsia" w:ascii="宋体" w:hAnsi="宋体"/>
          <w:szCs w:val="21"/>
        </w:rPr>
        <w:t>五</w:t>
      </w:r>
      <w:r>
        <w:rPr>
          <w:rFonts w:ascii="宋体" w:hAnsi="宋体"/>
          <w:szCs w:val="21"/>
        </w:rPr>
        <w:t>）</w:t>
      </w:r>
      <w:r>
        <w:rPr>
          <w:rFonts w:hint="eastAsia" w:ascii="宋体" w:hAnsi="宋体"/>
          <w:szCs w:val="21"/>
        </w:rPr>
        <w:t>采购标的需满足的服务标准、期限、效率等要求：</w:t>
      </w:r>
    </w:p>
    <w:p>
      <w:pPr>
        <w:adjustRightInd w:val="0"/>
        <w:snapToGrid w:val="0"/>
        <w:spacing w:line="460" w:lineRule="exact"/>
        <w:ind w:firstLine="420" w:firstLineChars="200"/>
        <w:jc w:val="left"/>
        <w:rPr>
          <w:rFonts w:hint="eastAsia" w:ascii="宋体" w:hAnsi="宋体"/>
          <w:szCs w:val="21"/>
        </w:rPr>
      </w:pPr>
      <w:r>
        <w:rPr>
          <w:rFonts w:hint="eastAsia" w:ascii="宋体" w:hAnsi="宋体" w:cs="方正仿宋_GBK"/>
          <w:szCs w:val="21"/>
        </w:rPr>
        <w:t>本项目合同服务期暂定三年（2024年8月至2027年7月）。如成交供应商在合同期内考核合格，则在第一年合同期满时，且采购人、成交供应商双方同意，成交供应商承诺不增加服务费用的前提下，双方可续签下一年度合同，</w:t>
      </w:r>
      <w:r>
        <w:rPr>
          <w:rFonts w:hint="eastAsia" w:ascii="宋体" w:hAnsi="宋体" w:cs="方正仿宋_GBK"/>
          <w:color w:val="FF0000"/>
          <w:szCs w:val="21"/>
        </w:rPr>
        <w:t>最多续签两次</w:t>
      </w:r>
      <w:r>
        <w:rPr>
          <w:rFonts w:hint="eastAsia" w:ascii="宋体" w:hAnsi="宋体" w:cs="方正仿宋_GBK"/>
          <w:szCs w:val="21"/>
        </w:rPr>
        <w:t>。如成交供应商在合同期内年度综合考核不合格，则采购人不再与成交供应商续签合同。</w:t>
      </w:r>
    </w:p>
    <w:p>
      <w:pPr>
        <w:adjustRightInd w:val="0"/>
        <w:snapToGrid w:val="0"/>
        <w:spacing w:line="460" w:lineRule="exact"/>
        <w:ind w:firstLine="420" w:firstLineChars="200"/>
        <w:jc w:val="left"/>
        <w:rPr>
          <w:rFonts w:hint="eastAsia" w:ascii="宋体" w:hAnsi="宋体"/>
          <w:szCs w:val="21"/>
        </w:rPr>
      </w:pPr>
      <w:r>
        <w:rPr>
          <w:rFonts w:ascii="宋体" w:hAnsi="宋体"/>
          <w:szCs w:val="21"/>
        </w:rPr>
        <w:t>（</w:t>
      </w:r>
      <w:r>
        <w:rPr>
          <w:rFonts w:hint="eastAsia" w:ascii="宋体" w:hAnsi="宋体"/>
          <w:szCs w:val="21"/>
        </w:rPr>
        <w:t>六）采购标的的验收标准：本项目按照合同、招标文件、投标文件内容进行验收。</w:t>
      </w:r>
    </w:p>
    <w:p>
      <w:pPr>
        <w:adjustRightInd w:val="0"/>
        <w:snapToGrid w:val="0"/>
        <w:spacing w:line="460" w:lineRule="exact"/>
        <w:ind w:firstLine="420" w:firstLineChars="200"/>
        <w:jc w:val="left"/>
        <w:rPr>
          <w:rFonts w:ascii="宋体" w:hAnsi="宋体"/>
          <w:szCs w:val="21"/>
        </w:rPr>
      </w:pPr>
      <w:r>
        <w:rPr>
          <w:rFonts w:ascii="宋体" w:hAnsi="宋体"/>
          <w:szCs w:val="21"/>
        </w:rPr>
        <w:t>（</w:t>
      </w:r>
      <w:r>
        <w:rPr>
          <w:rFonts w:hint="eastAsia" w:ascii="宋体" w:hAnsi="宋体"/>
          <w:szCs w:val="21"/>
        </w:rPr>
        <w:t>七</w:t>
      </w:r>
      <w:r>
        <w:rPr>
          <w:rFonts w:ascii="宋体" w:hAnsi="宋体"/>
          <w:szCs w:val="21"/>
        </w:rPr>
        <w:t>）</w:t>
      </w:r>
      <w:r>
        <w:rPr>
          <w:rFonts w:hint="eastAsia" w:ascii="宋体" w:hAnsi="宋体"/>
          <w:szCs w:val="21"/>
        </w:rPr>
        <w:t>采购标的的其他技术、服务等要求：</w:t>
      </w:r>
    </w:p>
    <w:p>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1.成交供应商必须按照法律、法规及劳动法的有关规定为维保服务人员办理相关手续，合法用工。</w:t>
      </w:r>
    </w:p>
    <w:p>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2.成交供应商为采购人提供的服务人员在合同期内如发生因工伤、致残、疾病、死亡等各类劳动仲裁、诉讼等事宜均与采购方无关。</w:t>
      </w:r>
    </w:p>
    <w:p>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3.工作过程中因成交供应商责任所造成的经济损失由成交供应商按实际额赔偿。因不可抗力因素造成增加的费用或造成采购方提供的设施损失，双方共同协商解决。</w:t>
      </w:r>
    </w:p>
    <w:p>
      <w:pPr>
        <w:adjustRightInd w:val="0"/>
        <w:snapToGrid w:val="0"/>
        <w:spacing w:line="460" w:lineRule="exact"/>
        <w:ind w:firstLine="420" w:firstLineChars="200"/>
        <w:jc w:val="left"/>
        <w:rPr>
          <w:rFonts w:ascii="宋体" w:hAnsi="宋体"/>
          <w:szCs w:val="21"/>
        </w:rPr>
      </w:pPr>
      <w:r>
        <w:rPr>
          <w:rFonts w:hint="eastAsia" w:ascii="宋体" w:hAnsi="宋体"/>
          <w:szCs w:val="21"/>
        </w:rPr>
        <w:t>4.合同届满时，成交供应商必须做好一切交接手续，确保采购人工作的正常进行，否则视为成交供应商违约，造成损失的应予赔偿。如采购人因特殊原因需延期的，供应商应配合完成。</w:t>
      </w:r>
    </w:p>
    <w:p>
      <w:pPr>
        <w:adjustRightInd w:val="0"/>
        <w:snapToGrid w:val="0"/>
        <w:spacing w:line="460" w:lineRule="exact"/>
        <w:ind w:firstLine="420" w:firstLineChars="200"/>
        <w:jc w:val="left"/>
        <w:rPr>
          <w:rFonts w:hint="eastAsia" w:ascii="宋体" w:hAnsi="宋体"/>
          <w:szCs w:val="21"/>
        </w:rPr>
      </w:pPr>
      <w:r>
        <w:rPr>
          <w:rFonts w:ascii="宋体" w:hAnsi="宋体"/>
          <w:szCs w:val="21"/>
        </w:rPr>
        <w:t>5</w:t>
      </w:r>
      <w:r>
        <w:rPr>
          <w:rFonts w:hint="eastAsia" w:ascii="宋体" w:hAnsi="宋体"/>
          <w:szCs w:val="21"/>
        </w:rPr>
        <w:t>.本次招标的维保服务类型为半包：（1）维保费中包含但不限于电梯检验费（电梯年检费）、维保人员的劳务费、管理费、利润、税金、保险费、调试费、员工培训费、技术服务费、交通费、安全防护措施费、专用工具使用费、维保耗材费、电梯责任保险费、电梯维修部件单件价格在500元以内的零部件费用等。（2）投标报价应为含税报价；（3）为完成本招标文件规定的义务，投标人认为有必要计入的任何其它费用，由此可能发生的一切相关费用均应计入投标报价中。本合同综合单价为一次性包干，结算时不作调整。</w:t>
      </w:r>
    </w:p>
    <w:p>
      <w:pPr>
        <w:adjustRightInd w:val="0"/>
        <w:snapToGrid w:val="0"/>
        <w:spacing w:line="460" w:lineRule="exact"/>
        <w:ind w:firstLine="420" w:firstLineChars="200"/>
        <w:jc w:val="left"/>
        <w:rPr>
          <w:rFonts w:hint="eastAsia" w:ascii="宋体" w:hAnsi="宋体"/>
          <w:szCs w:val="21"/>
        </w:rPr>
      </w:pPr>
      <w:r>
        <w:rPr>
          <w:rFonts w:ascii="宋体" w:hAnsi="宋体"/>
          <w:szCs w:val="21"/>
        </w:rPr>
        <w:t>6</w:t>
      </w:r>
      <w:r>
        <w:rPr>
          <w:rFonts w:hint="eastAsia" w:ascii="宋体" w:hAnsi="宋体"/>
          <w:szCs w:val="21"/>
        </w:rPr>
        <w:t>.其他未尽事宜按招标文件相关规定执行。</w:t>
      </w:r>
    </w:p>
    <w:p>
      <w:pPr>
        <w:adjustRightInd w:val="0"/>
        <w:snapToGrid w:val="0"/>
        <w:spacing w:line="460" w:lineRule="exact"/>
        <w:ind w:firstLine="420" w:firstLineChars="200"/>
        <w:jc w:val="left"/>
        <w:rPr>
          <w:rFonts w:hint="eastAsia" w:ascii="宋体" w:hAnsi="宋体"/>
          <w:szCs w:val="21"/>
        </w:rPr>
      </w:pPr>
      <w:r>
        <w:rPr>
          <w:rFonts w:ascii="宋体" w:hAnsi="宋体"/>
          <w:szCs w:val="21"/>
        </w:rPr>
        <w:t>7.</w:t>
      </w:r>
      <w:r>
        <w:rPr>
          <w:rFonts w:hint="eastAsia" w:ascii="宋体" w:hAnsi="宋体"/>
          <w:szCs w:val="21"/>
        </w:rPr>
        <w:t>甲方责任</w:t>
      </w:r>
    </w:p>
    <w:p>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（1）出于安全的需要,甲方不能允许未经中标人授权的人员修理、改动、更换设备的任何部件。否则,对此产生的损失将由甲方承担。</w:t>
      </w:r>
    </w:p>
    <w:p>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（2）维修现场</w:t>
      </w:r>
    </w:p>
    <w:p>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甲方有义务为中标人员工提供安全的工作环境,并根据有关法律法规和安全惯例的规定清除任何危险物品。同时,甲方应按政府法规对设备维护的要求,为机房提供足够的照明、通风,控制好有利于设备安全运行的温湿度。</w:t>
      </w:r>
    </w:p>
    <w:p>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甲方同意在显著位置张贴和保存所有有关乘客使用设备的指引或警示。</w:t>
      </w:r>
    </w:p>
    <w:p>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甲方对设备情况的反映：</w:t>
      </w:r>
    </w:p>
    <w:p>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a根据国家特种设备安全监察条例,当电梯发生紧急事件后,甲方应立即启动事故应急专项预案。如果电梯日常运行不正常或出现任何险情,甲方应马上直接通知中标人。</w:t>
      </w:r>
    </w:p>
    <w:p>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b甲方应接受中标人人员保证设备高效安全运行的建议,协助其做必要的工作。因甲方未及时处理中标人所提之合理建议所产生之事故,中标人不承担责任。</w:t>
      </w:r>
    </w:p>
    <w:p>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（3）确认责任</w:t>
      </w:r>
    </w:p>
    <w:p>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甲方负责电梯日常管理工作,并授权专门人员就中标人所提供的维护保养服务和召唤维修服务分别在《电(扶)梯维护保养工作单》和《电(扶)梯维修报告》上签字确认。</w:t>
      </w:r>
    </w:p>
    <w:p>
      <w:pPr>
        <w:jc w:val="center"/>
        <w:rPr>
          <w:rFonts w:ascii="宋体" w:hAnsi="宋体" w:eastAsia="宋体"/>
        </w:rPr>
      </w:pPr>
      <w:r>
        <w:rPr>
          <w:rFonts w:ascii="宋体" w:hAnsi="宋体" w:eastAsia="宋体"/>
          <w:sz w:val="36"/>
          <w:szCs w:val="36"/>
        </w:rPr>
        <w:br w:type="page"/>
      </w:r>
      <w:r>
        <w:rPr>
          <w:rFonts w:ascii="宋体" w:hAnsi="宋体" w:eastAsia="宋体"/>
          <w:sz w:val="36"/>
          <w:szCs w:val="36"/>
        </w:rPr>
        <w:t>二、</w:t>
      </w:r>
      <w:r>
        <w:rPr>
          <w:rFonts w:hint="eastAsia" w:ascii="宋体" w:hAnsi="宋体" w:eastAsia="宋体"/>
          <w:sz w:val="36"/>
          <w:szCs w:val="36"/>
        </w:rPr>
        <w:t>采购合同条款及格式</w:t>
      </w:r>
    </w:p>
    <w:p>
      <w:pPr>
        <w:spacing w:line="360" w:lineRule="auto"/>
        <w:rPr>
          <w:rFonts w:ascii="宋体" w:hAnsi="宋体" w:eastAsia="宋体" w:cs="宋体"/>
          <w:color w:val="000000"/>
          <w:kern w:val="0"/>
          <w:sz w:val="24"/>
          <w:szCs w:val="24"/>
        </w:rPr>
      </w:pPr>
    </w:p>
    <w:p>
      <w:pPr>
        <w:spacing w:line="360" w:lineRule="auto"/>
        <w:rPr>
          <w:rFonts w:hint="eastAsia" w:ascii="宋体" w:hAnsi="宋体" w:eastAsia="宋体" w:cs="宋体"/>
          <w:color w:val="000000"/>
          <w:kern w:val="0"/>
          <w:sz w:val="24"/>
          <w:szCs w:val="24"/>
          <w:u w:val="single"/>
          <w:lang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eastAsia="zh-CN"/>
        </w:rPr>
        <w:t>南通开发区星湖小学</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pStyle w:val="23"/>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1"/>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南通开发区星湖小学电梯维护保养项目</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rPr>
        <w:t>20</w:t>
      </w:r>
      <w:r>
        <w:rPr>
          <w:rFonts w:ascii="宋体" w:hAnsi="宋体" w:eastAsia="宋体" w:cs="宋体"/>
          <w:sz w:val="24"/>
          <w:szCs w:val="24"/>
          <w:u w:val="single"/>
        </w:rPr>
        <w:t>2</w:t>
      </w:r>
      <w:r>
        <w:rPr>
          <w:rFonts w:hint="eastAsia" w:ascii="宋体" w:hAnsi="宋体" w:eastAsia="宋体" w:cs="宋体"/>
          <w:sz w:val="24"/>
          <w:szCs w:val="24"/>
          <w:u w:val="single"/>
          <w:lang w:val="en-US" w:eastAsia="zh-CN"/>
        </w:rPr>
        <w:t>4</w:t>
      </w:r>
      <w:r>
        <w:rPr>
          <w:rFonts w:hint="eastAsia" w:ascii="宋体" w:hAnsi="宋体" w:eastAsia="宋体" w:cs="宋体"/>
          <w:sz w:val="24"/>
          <w:szCs w:val="24"/>
          <w:u w:val="single"/>
        </w:rPr>
        <w:t>年  月   日</w:t>
      </w:r>
      <w:r>
        <w:rPr>
          <w:rFonts w:hint="eastAsia" w:ascii="宋体" w:hAnsi="宋体" w:eastAsia="宋体" w:cs="宋体"/>
          <w:sz w:val="24"/>
          <w:szCs w:val="24"/>
        </w:rPr>
        <w:t>；竣工日期：</w:t>
      </w:r>
      <w:r>
        <w:rPr>
          <w:rFonts w:hint="eastAsia" w:ascii="宋体" w:hAnsi="宋体" w:eastAsia="宋体" w:cs="宋体"/>
          <w:sz w:val="24"/>
          <w:szCs w:val="24"/>
          <w:u w:val="single"/>
        </w:rPr>
        <w:t>20</w:t>
      </w:r>
      <w:r>
        <w:rPr>
          <w:rFonts w:hint="eastAsia" w:ascii="宋体" w:hAnsi="宋体" w:eastAsia="宋体" w:cs="宋体"/>
          <w:sz w:val="24"/>
          <w:szCs w:val="24"/>
          <w:u w:val="single"/>
          <w:lang w:val="en-US" w:eastAsia="zh-CN"/>
        </w:rPr>
        <w:t>24</w:t>
      </w:r>
      <w:r>
        <w:rPr>
          <w:rFonts w:hint="eastAsia" w:ascii="宋体" w:hAnsi="宋体" w:eastAsia="宋体" w:cs="宋体"/>
          <w:sz w:val="24"/>
          <w:szCs w:val="24"/>
          <w:u w:val="single"/>
        </w:rPr>
        <w:t>年   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eastAsia="zh-CN"/>
        </w:rPr>
        <w:t>南通开发区星湖小学</w:t>
      </w:r>
      <w:r>
        <w:rPr>
          <w:rFonts w:hint="eastAsia" w:ascii="宋体" w:hAnsi="宋体" w:eastAsia="宋体" w:cs="宋体"/>
          <w:sz w:val="24"/>
          <w:szCs w:val="24"/>
        </w:rPr>
        <w:t>。</w:t>
      </w:r>
    </w:p>
    <w:p>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pPr>
        <w:spacing w:line="480" w:lineRule="auto"/>
        <w:rPr>
          <w:rFonts w:ascii="宋体" w:hAnsi="宋体" w:eastAsia="宋体" w:cs="宋体"/>
          <w:bCs/>
          <w:sz w:val="24"/>
          <w:szCs w:val="24"/>
        </w:rPr>
      </w:pPr>
      <w:r>
        <w:rPr>
          <w:rFonts w:hint="eastAsia" w:ascii="宋体" w:hAnsi="宋体" w:eastAsia="宋体" w:cs="新宋体"/>
          <w:sz w:val="24"/>
          <w:szCs w:val="24"/>
        </w:rPr>
        <w:t>（1）所有设备安装调试完成，经验收合格后，一周内支付</w:t>
      </w:r>
      <w:r>
        <w:rPr>
          <w:rFonts w:hint="eastAsia" w:ascii="宋体" w:hAnsi="宋体" w:eastAsia="宋体" w:cs="新宋体"/>
          <w:sz w:val="24"/>
          <w:szCs w:val="24"/>
          <w:lang w:val="en-US" w:eastAsia="zh-CN"/>
        </w:rPr>
        <w:t>95</w:t>
      </w:r>
      <w:r>
        <w:rPr>
          <w:rFonts w:hint="eastAsia" w:ascii="宋体" w:hAnsi="宋体" w:eastAsia="宋体" w:cs="新宋体"/>
          <w:sz w:val="24"/>
          <w:szCs w:val="24"/>
        </w:rPr>
        <w:t>%的合同价款；</w:t>
      </w:r>
      <w:r>
        <w:rPr>
          <w:rFonts w:hint="eastAsia" w:ascii="宋体" w:hAnsi="宋体" w:eastAsia="宋体" w:cs="新宋体"/>
          <w:sz w:val="24"/>
          <w:szCs w:val="24"/>
          <w:lang w:val="en-US" w:eastAsia="zh-CN"/>
        </w:rPr>
        <w:t>免费质保期满后，如质保期内无质量或服务问题，</w:t>
      </w:r>
      <w:r>
        <w:rPr>
          <w:rFonts w:hint="eastAsia" w:ascii="宋体" w:hAnsi="宋体" w:eastAsia="宋体" w:cs="新宋体"/>
          <w:sz w:val="24"/>
          <w:szCs w:val="24"/>
        </w:rPr>
        <w:t>一周内付至合同价款的100%</w:t>
      </w:r>
      <w:r>
        <w:rPr>
          <w:rFonts w:hint="eastAsia" w:ascii="宋体" w:hAnsi="宋体" w:eastAsia="宋体" w:cs="宋体"/>
          <w:bCs/>
          <w:sz w:val="24"/>
          <w:szCs w:val="24"/>
        </w:rPr>
        <w:t>。</w:t>
      </w:r>
    </w:p>
    <w:p>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w:t>
      </w:r>
      <w:r>
        <w:rPr>
          <w:rFonts w:hint="eastAsia" w:ascii="宋体" w:hAnsi="宋体" w:eastAsia="宋体" w:cs="新宋体"/>
          <w:sz w:val="24"/>
          <w:szCs w:val="24"/>
          <w:u w:val="single"/>
          <w:lang w:val="en-US" w:eastAsia="zh-CN"/>
        </w:rPr>
        <w:t>壹</w:t>
      </w:r>
      <w:r>
        <w:rPr>
          <w:rFonts w:hint="eastAsia" w:ascii="宋体" w:hAnsi="宋体" w:eastAsia="宋体" w:cs="新宋体"/>
          <w:sz w:val="24"/>
          <w:szCs w:val="24"/>
          <w:u w:val="single"/>
        </w:rPr>
        <w:t xml:space="preserve"> </w:t>
      </w:r>
      <w:r>
        <w:rPr>
          <w:rFonts w:hint="eastAsia" w:ascii="宋体" w:hAnsi="宋体" w:eastAsia="宋体" w:cs="新宋体"/>
          <w:sz w:val="24"/>
          <w:szCs w:val="24"/>
        </w:rPr>
        <w:t>年，通过验收之日为免费质保期起始日。</w:t>
      </w:r>
    </w:p>
    <w:p>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pPr>
        <w:spacing w:line="480" w:lineRule="auto"/>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pPr>
        <w:widowControl/>
        <w:jc w:val="center"/>
        <w:rPr>
          <w:rFonts w:ascii="宋体" w:hAnsi="宋体" w:eastAsia="宋体"/>
          <w:b/>
          <w:bCs/>
          <w:sz w:val="32"/>
          <w:szCs w:val="32"/>
        </w:rPr>
      </w:pPr>
    </w:p>
    <w:p>
      <w:pPr>
        <w:widowControl/>
        <w:jc w:val="center"/>
        <w:rPr>
          <w:rFonts w:ascii="宋体" w:hAnsi="宋体" w:eastAsia="宋体"/>
          <w:b/>
          <w:bCs/>
          <w:sz w:val="32"/>
          <w:szCs w:val="32"/>
        </w:rPr>
      </w:pPr>
    </w:p>
    <w:p>
      <w:pPr>
        <w:spacing w:line="360" w:lineRule="auto"/>
        <w:jc w:val="center"/>
        <w:rPr>
          <w:rFonts w:ascii="宋体" w:hAnsi="宋体" w:eastAsia="宋体"/>
          <w:color w:val="000000"/>
          <w:sz w:val="32"/>
          <w:szCs w:val="32"/>
        </w:rPr>
      </w:pPr>
      <w:r>
        <w:rPr>
          <w:rFonts w:ascii="宋体" w:hAnsi="宋体" w:eastAsia="宋体"/>
        </w:rPr>
        <w:br w:type="page"/>
      </w:r>
    </w:p>
    <w:p>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widowControl/>
        <w:jc w:val="center"/>
        <w:rPr>
          <w:rFonts w:ascii="宋体" w:hAnsi="宋体" w:eastAsia="宋体"/>
          <w:b/>
          <w:bCs/>
          <w:sz w:val="32"/>
          <w:szCs w:val="32"/>
        </w:rPr>
      </w:pPr>
    </w:p>
    <w:p>
      <w:pPr>
        <w:jc w:val="center"/>
        <w:rPr>
          <w:rFonts w:ascii="宋体" w:hAnsi="宋体" w:eastAsia="宋体"/>
          <w:b/>
          <w:sz w:val="32"/>
          <w:szCs w:val="32"/>
        </w:rPr>
      </w:pPr>
      <w:r>
        <w:rPr>
          <w:rFonts w:hint="eastAsia" w:ascii="宋体" w:hAnsi="宋体" w:eastAsia="宋体"/>
          <w:b/>
          <w:sz w:val="32"/>
          <w:szCs w:val="32"/>
        </w:rPr>
        <w:t>2、开标一览表</w:t>
      </w:r>
    </w:p>
    <w:p>
      <w:pPr>
        <w:jc w:val="center"/>
        <w:rPr>
          <w:rFonts w:ascii="宋体" w:hAnsi="宋体" w:eastAsia="宋体"/>
          <w:b/>
          <w:sz w:val="32"/>
          <w:szCs w:val="32"/>
        </w:rPr>
      </w:pPr>
    </w:p>
    <w:p>
      <w:pPr>
        <w:rPr>
          <w:rFonts w:ascii="宋体" w:hAnsi="宋体" w:eastAsia="宋体"/>
          <w:sz w:val="24"/>
          <w:szCs w:val="24"/>
        </w:rPr>
      </w:pPr>
      <w:r>
        <w:rPr>
          <w:rFonts w:hint="eastAsia" w:ascii="宋体" w:hAnsi="宋体" w:eastAsia="宋体"/>
          <w:sz w:val="24"/>
          <w:szCs w:val="24"/>
        </w:rPr>
        <w:t>投标人全称（加盖公章）：</w:t>
      </w:r>
    </w:p>
    <w:p>
      <w:pPr>
        <w:rPr>
          <w:rFonts w:ascii="宋体" w:hAnsi="宋体" w:eastAsia="宋体"/>
          <w:sz w:val="24"/>
          <w:szCs w:val="24"/>
        </w:rPr>
      </w:pPr>
      <w:r>
        <w:rPr>
          <w:rFonts w:hint="eastAsia" w:ascii="宋体" w:hAnsi="宋体" w:eastAsia="宋体"/>
          <w:sz w:val="24"/>
          <w:szCs w:val="24"/>
        </w:rPr>
        <w:t xml:space="preserve">                                  </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pPr>
              <w:pStyle w:val="5"/>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pPr>
              <w:pStyle w:val="5"/>
              <w:adjustRightInd w:val="0"/>
              <w:snapToGrid w:val="0"/>
              <w:spacing w:line="300" w:lineRule="auto"/>
              <w:rPr>
                <w:rFonts w:ascii="宋体" w:hAnsi="宋体" w:eastAsia="宋体" w:cs="宋体"/>
                <w:kern w:val="2"/>
                <w:sz w:val="24"/>
                <w:szCs w:val="24"/>
              </w:rPr>
            </w:pPr>
          </w:p>
        </w:tc>
        <w:tc>
          <w:tcPr>
            <w:tcW w:w="2094" w:type="pct"/>
            <w:vAlign w:val="center"/>
          </w:tcPr>
          <w:p>
            <w:pPr>
              <w:pStyle w:val="5"/>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20"/>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pPr>
              <w:pStyle w:val="5"/>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202</w:t>
      </w:r>
      <w:r>
        <w:rPr>
          <w:rFonts w:hint="eastAsia" w:ascii="宋体" w:hAnsi="宋体" w:eastAsia="宋体"/>
          <w:sz w:val="24"/>
          <w:szCs w:val="24"/>
          <w:lang w:val="en-US" w:eastAsia="zh-CN"/>
        </w:rPr>
        <w:t>4</w:t>
      </w:r>
      <w:r>
        <w:rPr>
          <w:rFonts w:hint="eastAsia" w:ascii="宋体" w:hAnsi="宋体" w:eastAsia="宋体"/>
          <w:sz w:val="24"/>
          <w:szCs w:val="24"/>
        </w:rPr>
        <w:t>年  月   日</w:t>
      </w:r>
    </w:p>
    <w:p>
      <w:pPr>
        <w:rPr>
          <w:rFonts w:ascii="宋体" w:hAnsi="宋体" w:eastAsia="宋体"/>
          <w:sz w:val="24"/>
          <w:szCs w:val="24"/>
        </w:rPr>
      </w:pPr>
    </w:p>
    <w:p>
      <w:pPr>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3"/>
        <w:ind w:left="0" w:leftChars="0"/>
        <w:rPr>
          <w:rFonts w:ascii="宋体" w:hAnsi="宋体" w:eastAsia="宋体"/>
        </w:rPr>
      </w:pPr>
    </w:p>
    <w:p>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投标人全称（加盖公章）：</w:t>
      </w:r>
    </w:p>
    <w:tbl>
      <w:tblPr>
        <w:tblStyle w:val="11"/>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年  月  日</w:t>
      </w: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3"/>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pPr>
        <w:rPr>
          <w:rFonts w:ascii="宋体" w:hAnsi="宋体" w:eastAsia="宋体"/>
        </w:rPr>
      </w:pPr>
    </w:p>
    <w:p>
      <w:pPr>
        <w:rPr>
          <w:rFonts w:ascii="宋体" w:hAnsi="宋体" w:eastAsia="宋体"/>
          <w:b/>
          <w:sz w:val="32"/>
          <w:szCs w:val="32"/>
        </w:rPr>
      </w:pPr>
    </w:p>
    <w:p>
      <w:pPr>
        <w:pStyle w:val="22"/>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2"/>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snapToGrid w:val="0"/>
        <w:spacing w:line="400" w:lineRule="exact"/>
        <w:contextualSpacing/>
        <w:rPr>
          <w:rFonts w:hint="eastAsia" w:ascii="宋体" w:hAnsi="宋体" w:eastAsia="宋体" w:cs="Times New Roman"/>
          <w:b/>
          <w:kern w:val="2"/>
          <w:sz w:val="32"/>
          <w:szCs w:val="32"/>
          <w:lang w:val="en-US" w:eastAsia="zh-CN" w:bidi="ar-SA"/>
        </w:rPr>
      </w:pPr>
      <w:r>
        <w:rPr>
          <w:rFonts w:ascii="宋体" w:hAnsi="宋体" w:eastAsia="宋体"/>
        </w:rPr>
        <w:br w:type="page"/>
      </w:r>
      <w:r>
        <w:rPr>
          <w:rFonts w:hint="eastAsia" w:ascii="宋体" w:hAnsi="宋体" w:eastAsia="宋体" w:cs="Times New Roman"/>
          <w:b/>
          <w:w w:val="90"/>
          <w:kern w:val="2"/>
          <w:sz w:val="32"/>
          <w:szCs w:val="32"/>
          <w:lang w:val="en-US" w:eastAsia="zh-CN" w:bidi="ar-SA"/>
        </w:rPr>
        <w:t>6、投标人符合《政府采购法》第二十二条规定条件的声明函</w:t>
      </w:r>
    </w:p>
    <w:p>
      <w:pPr>
        <w:spacing w:line="460" w:lineRule="exact"/>
        <w:rPr>
          <w:rFonts w:hint="eastAsia" w:ascii="宋体" w:hAnsi="宋体"/>
          <w:b/>
          <w:bCs/>
          <w:color w:val="000000"/>
          <w:sz w:val="44"/>
          <w:szCs w:val="44"/>
        </w:rPr>
      </w:pPr>
      <w:r>
        <w:rPr>
          <w:rFonts w:hint="eastAsia" w:ascii="宋体" w:hAnsi="宋体"/>
          <w:b/>
          <w:bCs/>
          <w:color w:val="000000"/>
          <w:sz w:val="24"/>
          <w:szCs w:val="21"/>
        </w:rPr>
        <w:t xml:space="preserve">                       </w:t>
      </w:r>
      <w:r>
        <w:rPr>
          <w:rFonts w:hint="eastAsia" w:ascii="宋体" w:hAnsi="宋体"/>
          <w:b/>
          <w:bCs/>
          <w:color w:val="000000"/>
          <w:sz w:val="44"/>
          <w:szCs w:val="44"/>
        </w:rPr>
        <w:t xml:space="preserve">   </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我单位参加</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（项目名称）投标活动。针对《中华人民共和国政府采购法》第二十二条规定做出如下声明：</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1.我单位具有独立承担民事责任的能力；</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2.我单位具有良好的商业信誉和健全的财务会计制度；</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3.我单位具有履行合同所必需的设备和专业技术能力；</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4.我单位有依法缴纳税收和社会保障资金的良好记录；</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6.我单位满足法律、行政法规规定的其他条件。</w:t>
      </w: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承诺人名称（公章）：</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r>
        <w:rPr>
          <w:rFonts w:hint="eastAsia" w:ascii="宋体" w:hAnsi="宋体" w:eastAsia="宋体" w:cs="仿宋_GB2312"/>
          <w:sz w:val="23"/>
          <w:szCs w:val="23"/>
          <w:lang w:val="en-US" w:eastAsia="zh-CN"/>
        </w:rPr>
        <w:t xml:space="preserve">        </w:t>
      </w:r>
      <w:r>
        <w:rPr>
          <w:rFonts w:hint="eastAsia" w:ascii="宋体" w:hAnsi="宋体" w:eastAsia="宋体" w:cs="仿宋_GB2312"/>
          <w:sz w:val="23"/>
          <w:szCs w:val="23"/>
        </w:rPr>
        <w:t>日期：</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年</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月</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日</w:t>
      </w: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Helvetica Neue">
    <w:altName w:val="Times New Roman"/>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9</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1</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rPr>
    </w:pPr>
    <w:r>
      <w:rPr>
        <w:rFonts w:hint="eastAsia"/>
        <w:lang w:eastAsia="zh-CN"/>
      </w:rPr>
      <w:t>南通开发区星湖小学电梯维护保养项目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rPr>
    </w:pPr>
    <w:r>
      <w:rPr>
        <w:rFonts w:hint="eastAsia"/>
        <w:lang w:eastAsia="zh-CN"/>
      </w:rPr>
      <w:t>南通开发区星湖小学电梯维护保养项目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lMTU1ODA2NjJmZjg0NGE5ZDkwYzM0NTQwNjY3NzQifQ=="/>
  </w:docVars>
  <w:rsids>
    <w:rsidRoot w:val="00C17F3E"/>
    <w:rsid w:val="00021B17"/>
    <w:rsid w:val="00080ED2"/>
    <w:rsid w:val="000B6A00"/>
    <w:rsid w:val="00234B9E"/>
    <w:rsid w:val="00266B9E"/>
    <w:rsid w:val="00296F98"/>
    <w:rsid w:val="002D5774"/>
    <w:rsid w:val="002F4489"/>
    <w:rsid w:val="003330DB"/>
    <w:rsid w:val="00340446"/>
    <w:rsid w:val="004374FE"/>
    <w:rsid w:val="004468A7"/>
    <w:rsid w:val="00596103"/>
    <w:rsid w:val="005C1BE5"/>
    <w:rsid w:val="006100CD"/>
    <w:rsid w:val="006B6611"/>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28B0641"/>
    <w:rsid w:val="04044909"/>
    <w:rsid w:val="04293D1D"/>
    <w:rsid w:val="0430271B"/>
    <w:rsid w:val="04621485"/>
    <w:rsid w:val="047A657B"/>
    <w:rsid w:val="05892AE5"/>
    <w:rsid w:val="05DE0F09"/>
    <w:rsid w:val="06D83757"/>
    <w:rsid w:val="079D07B9"/>
    <w:rsid w:val="08144141"/>
    <w:rsid w:val="082D4C8B"/>
    <w:rsid w:val="0AC67231"/>
    <w:rsid w:val="0BA53987"/>
    <w:rsid w:val="0D4A1C50"/>
    <w:rsid w:val="0E195485"/>
    <w:rsid w:val="0E1B4E92"/>
    <w:rsid w:val="0EED74D6"/>
    <w:rsid w:val="0F2952B4"/>
    <w:rsid w:val="101A7331"/>
    <w:rsid w:val="10C23766"/>
    <w:rsid w:val="10CE22C9"/>
    <w:rsid w:val="12405819"/>
    <w:rsid w:val="1366623E"/>
    <w:rsid w:val="141B7A0D"/>
    <w:rsid w:val="143F00AF"/>
    <w:rsid w:val="148364FA"/>
    <w:rsid w:val="15FF11DD"/>
    <w:rsid w:val="172964C1"/>
    <w:rsid w:val="18085FAA"/>
    <w:rsid w:val="18420A9A"/>
    <w:rsid w:val="18B91FD8"/>
    <w:rsid w:val="193E1106"/>
    <w:rsid w:val="19A43F2C"/>
    <w:rsid w:val="19B17AB8"/>
    <w:rsid w:val="19F53ACB"/>
    <w:rsid w:val="1AD5032B"/>
    <w:rsid w:val="1B2B0E96"/>
    <w:rsid w:val="1B816820"/>
    <w:rsid w:val="1C9C18AD"/>
    <w:rsid w:val="1D932FAF"/>
    <w:rsid w:val="203F46B7"/>
    <w:rsid w:val="21AB7CE3"/>
    <w:rsid w:val="21DC404C"/>
    <w:rsid w:val="22DE15F0"/>
    <w:rsid w:val="23A75FF7"/>
    <w:rsid w:val="23D21CB9"/>
    <w:rsid w:val="24C85546"/>
    <w:rsid w:val="264A1001"/>
    <w:rsid w:val="290E6CE7"/>
    <w:rsid w:val="295A0C29"/>
    <w:rsid w:val="29E54BA8"/>
    <w:rsid w:val="2B227577"/>
    <w:rsid w:val="2D604645"/>
    <w:rsid w:val="2DBC4036"/>
    <w:rsid w:val="2EDF69A7"/>
    <w:rsid w:val="322B13C4"/>
    <w:rsid w:val="32524BFD"/>
    <w:rsid w:val="325564F4"/>
    <w:rsid w:val="32941625"/>
    <w:rsid w:val="33C5616B"/>
    <w:rsid w:val="34713E2B"/>
    <w:rsid w:val="3566165A"/>
    <w:rsid w:val="366C5346"/>
    <w:rsid w:val="37F05A73"/>
    <w:rsid w:val="397B7834"/>
    <w:rsid w:val="3DA6550E"/>
    <w:rsid w:val="402E5098"/>
    <w:rsid w:val="403E55C3"/>
    <w:rsid w:val="40AD0506"/>
    <w:rsid w:val="417E5498"/>
    <w:rsid w:val="42204EB5"/>
    <w:rsid w:val="42DA39A5"/>
    <w:rsid w:val="42F950A7"/>
    <w:rsid w:val="447B1D0E"/>
    <w:rsid w:val="44BD69EB"/>
    <w:rsid w:val="46106D55"/>
    <w:rsid w:val="47800E5B"/>
    <w:rsid w:val="47AE46D7"/>
    <w:rsid w:val="47C35A5D"/>
    <w:rsid w:val="48604DB7"/>
    <w:rsid w:val="48620671"/>
    <w:rsid w:val="48D95232"/>
    <w:rsid w:val="49414253"/>
    <w:rsid w:val="4A4C42A4"/>
    <w:rsid w:val="4B124BE3"/>
    <w:rsid w:val="4C59591B"/>
    <w:rsid w:val="4CF34A43"/>
    <w:rsid w:val="4D33283B"/>
    <w:rsid w:val="4E094596"/>
    <w:rsid w:val="4E5924D0"/>
    <w:rsid w:val="4E5A31CA"/>
    <w:rsid w:val="4EDD5341"/>
    <w:rsid w:val="4F152C67"/>
    <w:rsid w:val="4F8A0D03"/>
    <w:rsid w:val="4FA622E0"/>
    <w:rsid w:val="51454113"/>
    <w:rsid w:val="51E66335"/>
    <w:rsid w:val="52C942F5"/>
    <w:rsid w:val="52D468DD"/>
    <w:rsid w:val="531C7ADA"/>
    <w:rsid w:val="532C0BCB"/>
    <w:rsid w:val="53430FF2"/>
    <w:rsid w:val="53B660D6"/>
    <w:rsid w:val="53FA71B7"/>
    <w:rsid w:val="54392249"/>
    <w:rsid w:val="547D7D04"/>
    <w:rsid w:val="54BA6B11"/>
    <w:rsid w:val="54EA4E2E"/>
    <w:rsid w:val="56CB7E6B"/>
    <w:rsid w:val="56F905DC"/>
    <w:rsid w:val="57707A82"/>
    <w:rsid w:val="581205EB"/>
    <w:rsid w:val="584329D8"/>
    <w:rsid w:val="59576BBE"/>
    <w:rsid w:val="59FF74EB"/>
    <w:rsid w:val="5AD073AA"/>
    <w:rsid w:val="5CF02C41"/>
    <w:rsid w:val="5D7C7E6A"/>
    <w:rsid w:val="5D852366"/>
    <w:rsid w:val="5D8A7299"/>
    <w:rsid w:val="5DC34697"/>
    <w:rsid w:val="5E477B07"/>
    <w:rsid w:val="60292533"/>
    <w:rsid w:val="609F1484"/>
    <w:rsid w:val="60B02453"/>
    <w:rsid w:val="611C74B1"/>
    <w:rsid w:val="61982C6F"/>
    <w:rsid w:val="62E1096C"/>
    <w:rsid w:val="63A54E09"/>
    <w:rsid w:val="650D2C1F"/>
    <w:rsid w:val="6559487A"/>
    <w:rsid w:val="659F79E0"/>
    <w:rsid w:val="68302B27"/>
    <w:rsid w:val="687C7AB9"/>
    <w:rsid w:val="68D41851"/>
    <w:rsid w:val="68F16528"/>
    <w:rsid w:val="69AA10F4"/>
    <w:rsid w:val="6A765B22"/>
    <w:rsid w:val="6D306395"/>
    <w:rsid w:val="6D5B678F"/>
    <w:rsid w:val="6EEE5BAF"/>
    <w:rsid w:val="708116AD"/>
    <w:rsid w:val="70BF50A1"/>
    <w:rsid w:val="722E2A61"/>
    <w:rsid w:val="735F0AE9"/>
    <w:rsid w:val="73A8634F"/>
    <w:rsid w:val="73C31D4B"/>
    <w:rsid w:val="73D85689"/>
    <w:rsid w:val="74570C0A"/>
    <w:rsid w:val="7471559C"/>
    <w:rsid w:val="75D71F9F"/>
    <w:rsid w:val="76B66FE0"/>
    <w:rsid w:val="774E15A1"/>
    <w:rsid w:val="77F753B8"/>
    <w:rsid w:val="78EB1DDC"/>
    <w:rsid w:val="79224089"/>
    <w:rsid w:val="7990698B"/>
    <w:rsid w:val="799A5D1A"/>
    <w:rsid w:val="79A82155"/>
    <w:rsid w:val="79AE1A6A"/>
    <w:rsid w:val="79BF1990"/>
    <w:rsid w:val="7A1234BA"/>
    <w:rsid w:val="7A910442"/>
    <w:rsid w:val="7B893E15"/>
    <w:rsid w:val="7C876E5C"/>
    <w:rsid w:val="7C90674F"/>
    <w:rsid w:val="7D44533D"/>
    <w:rsid w:val="7D490930"/>
    <w:rsid w:val="7D7B3F4E"/>
    <w:rsid w:val="7DC07E42"/>
    <w:rsid w:val="7DEF0C32"/>
    <w:rsid w:val="7E305F7E"/>
    <w:rsid w:val="7EAE3040"/>
    <w:rsid w:val="7F5C7CE3"/>
    <w:rsid w:val="7FA70B91"/>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spacing w:after="0" w:line="360" w:lineRule="auto"/>
      <w:ind w:left="0" w:leftChars="0" w:firstLine="420" w:firstLineChars="200"/>
    </w:pPr>
    <w:rPr>
      <w:rFonts w:ascii="宋体" w:hAnsi="宋体"/>
      <w:sz w:val="24"/>
      <w:szCs w:val="24"/>
    </w:rPr>
  </w:style>
  <w:style w:type="paragraph" w:styleId="3">
    <w:name w:val="Body Text Indent"/>
    <w:basedOn w:val="1"/>
    <w:link w:val="15"/>
    <w:qFormat/>
    <w:uiPriority w:val="0"/>
    <w:pPr>
      <w:spacing w:after="120"/>
      <w:ind w:left="420" w:leftChars="200"/>
    </w:pPr>
  </w:style>
  <w:style w:type="paragraph" w:styleId="4">
    <w:name w:val="Normal Indent"/>
    <w:basedOn w:val="1"/>
    <w:semiHidden/>
    <w:unhideWhenUsed/>
    <w:qFormat/>
    <w:uiPriority w:val="99"/>
    <w:pPr>
      <w:ind w:firstLine="420" w:firstLineChars="200"/>
    </w:pPr>
  </w:style>
  <w:style w:type="paragraph" w:styleId="5">
    <w:name w:val="Body Text"/>
    <w:basedOn w:val="1"/>
    <w:link w:val="16"/>
    <w:qFormat/>
    <w:uiPriority w:val="0"/>
    <w:rPr>
      <w:rFonts w:ascii="楷体_GB2312" w:hAnsi="Arial" w:eastAsia="楷体_GB2312"/>
      <w:kern w:val="0"/>
      <w:sz w:val="28"/>
      <w:szCs w:val="20"/>
    </w:rPr>
  </w:style>
  <w:style w:type="paragraph" w:styleId="6">
    <w:name w:val="Plain Text"/>
    <w:basedOn w:val="1"/>
    <w:link w:val="25"/>
    <w:qFormat/>
    <w:uiPriority w:val="99"/>
    <w:rPr>
      <w:rFonts w:ascii="宋体" w:hAnsi="Courier New" w:eastAsia="宋体" w:cs="Courier New"/>
      <w:szCs w:val="21"/>
    </w:rPr>
  </w:style>
  <w:style w:type="paragraph" w:styleId="7">
    <w:name w:val="Date"/>
    <w:basedOn w:val="1"/>
    <w:next w:val="1"/>
    <w:link w:val="17"/>
    <w:unhideWhenUsed/>
    <w:qFormat/>
    <w:uiPriority w:val="0"/>
    <w:rPr>
      <w:rFonts w:ascii="Times New Roman" w:hAnsi="Times New Roman" w:eastAsia="宋体"/>
      <w:kern w:val="0"/>
      <w:sz w:val="24"/>
      <w:szCs w:val="20"/>
    </w:rPr>
  </w:style>
  <w:style w:type="paragraph" w:styleId="8">
    <w:name w:val="footer"/>
    <w:basedOn w:val="1"/>
    <w:link w:val="18"/>
    <w:unhideWhenUsed/>
    <w:qFormat/>
    <w:uiPriority w:val="0"/>
    <w:pPr>
      <w:tabs>
        <w:tab w:val="center" w:pos="4153"/>
        <w:tab w:val="right" w:pos="8306"/>
      </w:tabs>
      <w:snapToGrid w:val="0"/>
      <w:jc w:val="left"/>
    </w:pPr>
    <w:rPr>
      <w:kern w:val="0"/>
      <w:sz w:val="18"/>
      <w:szCs w:val="18"/>
    </w:rPr>
  </w:style>
  <w:style w:type="paragraph" w:styleId="9">
    <w:name w:val="header"/>
    <w:basedOn w:val="1"/>
    <w:link w:val="19"/>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unhideWhenUsed/>
    <w:qFormat/>
    <w:uiPriority w:val="99"/>
    <w:rPr>
      <w:color w:val="000000"/>
      <w:u w:val="none"/>
    </w:rPr>
  </w:style>
  <w:style w:type="character" w:customStyle="1" w:styleId="15">
    <w:name w:val="正文文本缩进 Char"/>
    <w:basedOn w:val="13"/>
    <w:link w:val="3"/>
    <w:qFormat/>
    <w:uiPriority w:val="0"/>
    <w:rPr>
      <w:rFonts w:ascii="仿宋_GB2312" w:hAnsi="Calibri" w:eastAsia="仿宋_GB2312" w:cs="Times New Roman"/>
    </w:rPr>
  </w:style>
  <w:style w:type="character" w:customStyle="1" w:styleId="16">
    <w:name w:val="正文文本 Char"/>
    <w:basedOn w:val="13"/>
    <w:link w:val="5"/>
    <w:qFormat/>
    <w:uiPriority w:val="0"/>
    <w:rPr>
      <w:rFonts w:ascii="楷体_GB2312" w:hAnsi="Arial" w:eastAsia="楷体_GB2312" w:cs="Times New Roman"/>
      <w:kern w:val="0"/>
      <w:sz w:val="28"/>
      <w:szCs w:val="20"/>
    </w:rPr>
  </w:style>
  <w:style w:type="character" w:customStyle="1" w:styleId="17">
    <w:name w:val="日期 Char"/>
    <w:basedOn w:val="13"/>
    <w:link w:val="7"/>
    <w:qFormat/>
    <w:uiPriority w:val="0"/>
    <w:rPr>
      <w:rFonts w:ascii="Times New Roman" w:hAnsi="Times New Roman" w:eastAsia="宋体" w:cs="Times New Roman"/>
      <w:kern w:val="0"/>
      <w:sz w:val="24"/>
      <w:szCs w:val="20"/>
    </w:rPr>
  </w:style>
  <w:style w:type="character" w:customStyle="1" w:styleId="18">
    <w:name w:val="页脚 Char"/>
    <w:basedOn w:val="13"/>
    <w:link w:val="8"/>
    <w:qFormat/>
    <w:uiPriority w:val="0"/>
    <w:rPr>
      <w:rFonts w:ascii="仿宋_GB2312" w:hAnsi="Calibri" w:eastAsia="仿宋_GB2312" w:cs="Times New Roman"/>
      <w:kern w:val="0"/>
      <w:sz w:val="18"/>
      <w:szCs w:val="18"/>
    </w:rPr>
  </w:style>
  <w:style w:type="character" w:customStyle="1" w:styleId="19">
    <w:name w:val="页眉 Char"/>
    <w:basedOn w:val="13"/>
    <w:link w:val="9"/>
    <w:qFormat/>
    <w:uiPriority w:val="0"/>
    <w:rPr>
      <w:rFonts w:ascii="仿宋_GB2312" w:hAnsi="Calibri" w:eastAsia="仿宋_GB2312" w:cs="Times New Roman"/>
      <w:kern w:val="0"/>
      <w:sz w:val="18"/>
      <w:szCs w:val="18"/>
    </w:rPr>
  </w:style>
  <w:style w:type="paragraph" w:customStyle="1" w:styleId="20">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1">
    <w:name w:val="Char"/>
    <w:basedOn w:val="1"/>
    <w:qFormat/>
    <w:uiPriority w:val="99"/>
    <w:pPr>
      <w:tabs>
        <w:tab w:val="left" w:pos="360"/>
      </w:tabs>
    </w:pPr>
    <w:rPr>
      <w:sz w:val="24"/>
      <w:szCs w:val="24"/>
    </w:rPr>
  </w:style>
  <w:style w:type="paragraph" w:customStyle="1" w:styleId="22">
    <w:name w:val="!正文"/>
    <w:basedOn w:val="4"/>
    <w:qFormat/>
    <w:uiPriority w:val="0"/>
    <w:pPr>
      <w:spacing w:line="360" w:lineRule="auto"/>
      <w:ind w:firstLine="480"/>
    </w:pPr>
    <w:rPr>
      <w:rFonts w:ascii="Calibri"/>
      <w:b/>
      <w:sz w:val="24"/>
      <w:szCs w:val="24"/>
    </w:rPr>
  </w:style>
  <w:style w:type="paragraph" w:customStyle="1" w:styleId="23">
    <w:name w:val="p0"/>
    <w:basedOn w:val="1"/>
    <w:qFormat/>
    <w:uiPriority w:val="0"/>
    <w:pPr>
      <w:widowControl/>
    </w:pPr>
    <w:rPr>
      <w:rFonts w:ascii="Times New Roman" w:hAnsi="Times New Roman" w:eastAsia="宋体"/>
      <w:color w:val="000000"/>
      <w:kern w:val="0"/>
      <w:szCs w:val="21"/>
    </w:rPr>
  </w:style>
  <w:style w:type="paragraph" w:customStyle="1" w:styleId="24">
    <w:name w:val="msolistparagraph"/>
    <w:basedOn w:val="1"/>
    <w:qFormat/>
    <w:uiPriority w:val="0"/>
    <w:pPr>
      <w:ind w:firstLine="420" w:firstLineChars="200"/>
    </w:pPr>
    <w:rPr>
      <w:rFonts w:ascii="Calibri" w:eastAsia="宋体"/>
    </w:rPr>
  </w:style>
  <w:style w:type="character" w:customStyle="1" w:styleId="25">
    <w:name w:val="纯文本 Char"/>
    <w:basedOn w:val="13"/>
    <w:link w:val="6"/>
    <w:qFormat/>
    <w:uiPriority w:val="99"/>
    <w:rPr>
      <w:rFonts w:ascii="宋体" w:hAnsi="Courier New" w:eastAsia="宋体" w:cs="Courier New"/>
      <w:szCs w:val="21"/>
    </w:rPr>
  </w:style>
  <w:style w:type="character" w:customStyle="1" w:styleId="26">
    <w:name w:val="font31"/>
    <w:basedOn w:val="13"/>
    <w:qFormat/>
    <w:uiPriority w:val="0"/>
    <w:rPr>
      <w:rFonts w:hint="eastAsia" w:ascii="宋体" w:hAnsi="宋体" w:eastAsia="宋体" w:cs="宋体"/>
      <w:color w:val="000000"/>
      <w:sz w:val="20"/>
      <w:szCs w:val="20"/>
      <w:u w:val="none"/>
    </w:rPr>
  </w:style>
  <w:style w:type="character" w:customStyle="1" w:styleId="27">
    <w:name w:val="font41"/>
    <w:basedOn w:val="13"/>
    <w:qFormat/>
    <w:uiPriority w:val="0"/>
    <w:rPr>
      <w:rFonts w:hint="default" w:ascii="Helvetica Neue" w:hAnsi="Helvetica Neue" w:eastAsia="Helvetica Neue" w:cs="Helvetica Neue"/>
      <w:color w:val="000000"/>
      <w:sz w:val="20"/>
      <w:szCs w:val="20"/>
      <w:u w:val="none"/>
    </w:rPr>
  </w:style>
  <w:style w:type="paragraph" w:styleId="28">
    <w:name w:val="List Paragraph"/>
    <w:basedOn w:val="1"/>
    <w:qFormat/>
    <w:uiPriority w:val="34"/>
    <w:pPr>
      <w:ind w:firstLine="420" w:firstLineChars="200"/>
    </w:pPr>
  </w:style>
  <w:style w:type="character" w:customStyle="1" w:styleId="29">
    <w:name w:val="font61"/>
    <w:basedOn w:val="13"/>
    <w:qFormat/>
    <w:uiPriority w:val="0"/>
    <w:rPr>
      <w:rFonts w:hint="eastAsia" w:ascii="宋体" w:hAnsi="宋体" w:eastAsia="宋体" w:cs="宋体"/>
      <w:color w:val="FF0000"/>
      <w:sz w:val="20"/>
      <w:szCs w:val="20"/>
      <w:u w:val="none"/>
    </w:rPr>
  </w:style>
  <w:style w:type="character" w:customStyle="1" w:styleId="30">
    <w:name w:val="font21"/>
    <w:basedOn w:val="13"/>
    <w:qFormat/>
    <w:uiPriority w:val="0"/>
    <w:rPr>
      <w:rFonts w:hint="eastAsia" w:ascii="宋体" w:hAnsi="宋体" w:eastAsia="宋体" w:cs="宋体"/>
      <w:color w:val="000000"/>
      <w:sz w:val="20"/>
      <w:szCs w:val="20"/>
      <w:u w:val="none"/>
    </w:rPr>
  </w:style>
  <w:style w:type="character" w:customStyle="1" w:styleId="31">
    <w:name w:val="font81"/>
    <w:basedOn w:val="13"/>
    <w:qFormat/>
    <w:uiPriority w:val="0"/>
    <w:rPr>
      <w:rFonts w:ascii="Wingdings 2" w:hAnsi="Wingdings 2" w:eastAsia="Wingdings 2" w:cs="Wingdings 2"/>
      <w:color w:val="000000"/>
      <w:sz w:val="22"/>
      <w:szCs w:val="22"/>
      <w:u w:val="none"/>
    </w:rPr>
  </w:style>
  <w:style w:type="character" w:customStyle="1" w:styleId="32">
    <w:name w:val="font51"/>
    <w:basedOn w:val="13"/>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15</Pages>
  <Words>6861</Words>
  <Characters>7128</Characters>
  <Lines>78</Lines>
  <Paragraphs>22</Paragraphs>
  <TotalTime>1</TotalTime>
  <ScaleCrop>false</ScaleCrop>
  <LinksUpToDate>false</LinksUpToDate>
  <CharactersWithSpaces>8099</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蒋小春</cp:lastModifiedBy>
  <dcterms:modified xsi:type="dcterms:W3CDTF">2024-08-19T08:54:18Z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F4A23DCBA84C45B6A69972A65F467640_13</vt:lpwstr>
  </property>
</Properties>
</file>