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jc w:val="left"/>
        <w:rPr>
          <w:rFonts w:hint="default" w:ascii="Tahoma" w:hAnsi="Tahoma" w:eastAsia="宋体"/>
          <w:kern w:val="0"/>
          <w:sz w:val="32"/>
          <w:szCs w:val="32"/>
          <w:lang w:val="en-US" w:eastAsia="zh-CN"/>
        </w:rPr>
      </w:pPr>
      <w:r>
        <w:rPr>
          <w:rFonts w:hint="eastAsia" w:ascii="Tahoma" w:hAnsi="Tahoma" w:eastAsia="宋体"/>
          <w:kern w:val="0"/>
          <w:sz w:val="32"/>
          <w:szCs w:val="32"/>
          <w:lang w:eastAsia="zh-CN"/>
        </w:rPr>
        <w:t>附件</w:t>
      </w:r>
      <w:r>
        <w:rPr>
          <w:rFonts w:hint="eastAsia" w:ascii="Tahoma" w:hAnsi="Tahoma" w:eastAsia="宋体"/>
          <w:kern w:val="0"/>
          <w:sz w:val="32"/>
          <w:szCs w:val="32"/>
          <w:lang w:val="en-US" w:eastAsia="zh-CN"/>
        </w:rPr>
        <w:t>2：</w:t>
      </w:r>
    </w:p>
    <w:p>
      <w:pPr>
        <w:pStyle w:val="5"/>
        <w:spacing w:line="360" w:lineRule="auto"/>
        <w:rPr>
          <w:rFonts w:ascii="Tahoma" w:hAnsi="Tahoma" w:eastAsia="宋体"/>
          <w:b/>
          <w:bCs/>
          <w:kern w:val="0"/>
          <w:sz w:val="32"/>
          <w:szCs w:val="32"/>
        </w:rPr>
      </w:pPr>
    </w:p>
    <w:p>
      <w:pPr>
        <w:pStyle w:val="5"/>
        <w:spacing w:line="360" w:lineRule="auto"/>
        <w:rPr>
          <w:rFonts w:ascii="Tahoma" w:hAnsi="Tahoma" w:eastAsia="宋体"/>
          <w:b/>
          <w:bCs/>
          <w:kern w:val="0"/>
          <w:sz w:val="32"/>
          <w:szCs w:val="32"/>
        </w:rPr>
      </w:pPr>
      <w:r>
        <w:rPr>
          <w:rFonts w:hint="eastAsia" w:ascii="Tahoma" w:hAnsi="Tahoma" w:eastAsia="宋体"/>
          <w:b/>
          <w:bCs/>
          <w:kern w:val="0"/>
          <w:sz w:val="32"/>
          <w:szCs w:val="32"/>
        </w:rPr>
        <w:t>评标办法（综合评分法）</w:t>
      </w:r>
    </w:p>
    <w:tbl>
      <w:tblPr>
        <w:tblStyle w:val="3"/>
        <w:tblpPr w:leftFromText="180" w:rightFromText="180" w:vertAnchor="text" w:horzAnchor="page" w:tblpXSpec="center" w:tblpY="1078"/>
        <w:tblOverlap w:val="never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80"/>
        <w:gridCol w:w="2366"/>
        <w:gridCol w:w="1361"/>
        <w:gridCol w:w="4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27" w:type="dxa"/>
            <w:gridSpan w:val="2"/>
            <w:vAlign w:val="center"/>
          </w:tcPr>
          <w:p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2.2.1</w:t>
            </w:r>
          </w:p>
        </w:tc>
        <w:tc>
          <w:tcPr>
            <w:tcW w:w="3727" w:type="dxa"/>
            <w:gridSpan w:val="2"/>
            <w:vAlign w:val="center"/>
          </w:tcPr>
          <w:p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分值构成</w:t>
            </w:r>
          </w:p>
          <w:p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</w:t>
            </w:r>
            <w:r>
              <w:rPr>
                <w:rFonts w:ascii="宋体" w:hAnsi="宋体" w:cs="宋体"/>
                <w:bCs/>
                <w:sz w:val="24"/>
              </w:rPr>
              <w:t>100</w:t>
            </w:r>
            <w:r>
              <w:rPr>
                <w:rFonts w:hint="eastAsia" w:ascii="宋体" w:hAnsi="宋体" w:cs="宋体"/>
                <w:bCs/>
                <w:sz w:val="24"/>
              </w:rPr>
              <w:t>分）</w:t>
            </w:r>
          </w:p>
        </w:tc>
        <w:tc>
          <w:tcPr>
            <w:tcW w:w="4719" w:type="dxa"/>
            <w:vAlign w:val="center"/>
          </w:tcPr>
          <w:p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技术商务标70分，报价标30分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173" w:type="dxa"/>
            <w:gridSpan w:val="5"/>
          </w:tcPr>
          <w:p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投标单位的技术得分为各评委技术分之和的算术平均值。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条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sz w:val="24"/>
              </w:rPr>
              <w:t>款号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评分因素</w:t>
            </w:r>
          </w:p>
        </w:tc>
        <w:tc>
          <w:tcPr>
            <w:tcW w:w="6080" w:type="dxa"/>
            <w:gridSpan w:val="2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1447" w:type="dxa"/>
            <w:vMerge w:val="restart"/>
            <w:vAlign w:val="center"/>
          </w:tcPr>
          <w:p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2.2.2</w:t>
            </w:r>
            <w:r>
              <w:rPr>
                <w:rFonts w:hint="eastAsia" w:ascii="宋体" w:hAnsi="宋体" w:cs="宋体"/>
                <w:bCs/>
                <w:sz w:val="24"/>
              </w:rPr>
              <w:t>技术商务标（70分）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类似项目业绩（15分）</w:t>
            </w:r>
          </w:p>
        </w:tc>
        <w:tc>
          <w:tcPr>
            <w:tcW w:w="6080" w:type="dxa"/>
            <w:gridSpan w:val="2"/>
            <w:vAlign w:val="center"/>
          </w:tcPr>
          <w:p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201</w:t>
            </w:r>
            <w:r>
              <w:rPr>
                <w:rFonts w:hint="eastAsia" w:ascii="宋体" w:hAnsi="宋体" w:cs="宋体"/>
                <w:bCs/>
                <w:sz w:val="24"/>
              </w:rPr>
              <w:t>7年7月</w:t>
            </w:r>
            <w:r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日至今完成的项目情况：中小学</w:t>
            </w:r>
            <w:r>
              <w:rPr>
                <w:rFonts w:ascii="宋体" w:hAnsi="宋体" w:cs="宋体"/>
                <w:bCs/>
                <w:sz w:val="24"/>
              </w:rPr>
              <w:t>/</w:t>
            </w:r>
            <w:r>
              <w:rPr>
                <w:rFonts w:hint="eastAsia" w:ascii="宋体" w:hAnsi="宋体" w:cs="宋体"/>
                <w:bCs/>
                <w:sz w:val="24"/>
              </w:rPr>
              <w:t>幼儿园校长</w:t>
            </w:r>
            <w:r>
              <w:rPr>
                <w:rFonts w:ascii="宋体" w:hAnsi="宋体" w:cs="宋体"/>
                <w:bCs/>
                <w:sz w:val="24"/>
              </w:rPr>
              <w:t>/</w:t>
            </w:r>
            <w:r>
              <w:rPr>
                <w:rFonts w:hint="eastAsia" w:ascii="宋体" w:hAnsi="宋体" w:cs="宋体"/>
                <w:bCs/>
                <w:sz w:val="24"/>
              </w:rPr>
              <w:t>教师培训项目业绩的有一个得5分；</w:t>
            </w:r>
            <w:r>
              <w:rPr>
                <w:rFonts w:hint="eastAsia" w:ascii="宋体" w:hAnsi="宋体" w:cs="宋体"/>
                <w:b/>
                <w:sz w:val="24"/>
              </w:rPr>
              <w:t>本项最多得15分；需提供中标通知书、合同协议书等复印件加盖公章（原件备查，无原件不得分），否则不得分</w:t>
            </w:r>
            <w:r>
              <w:rPr>
                <w:rFonts w:hint="eastAsia" w:ascii="宋体" w:hAnsi="宋体" w:cs="宋体"/>
                <w:bCs/>
                <w:sz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47" w:type="dxa"/>
            <w:vMerge w:val="continue"/>
            <w:vAlign w:val="center"/>
          </w:tcPr>
          <w:p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培训内容及培训方式（30分）</w:t>
            </w:r>
          </w:p>
        </w:tc>
        <w:tc>
          <w:tcPr>
            <w:tcW w:w="6080" w:type="dxa"/>
            <w:gridSpan w:val="2"/>
            <w:vAlign w:val="center"/>
          </w:tcPr>
          <w:p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评委根据投标单位以下几点要求横向进行比较打分：</w:t>
            </w:r>
          </w:p>
          <w:p>
            <w:pPr>
              <w:spacing w:line="360" w:lineRule="auto"/>
              <w:ind w:firstLine="482" w:firstLineChars="200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</w:t>
            </w:r>
            <w:r>
              <w:rPr>
                <w:rFonts w:ascii="宋体" w:hAnsi="宋体" w:cs="宋体"/>
                <w:b/>
                <w:sz w:val="24"/>
              </w:rPr>
              <w:t>1</w:t>
            </w:r>
            <w:r>
              <w:rPr>
                <w:rFonts w:hint="eastAsia" w:ascii="宋体" w:hAnsi="宋体" w:cs="宋体"/>
                <w:b/>
                <w:sz w:val="24"/>
              </w:rPr>
              <w:t>）课程资源（9分）</w:t>
            </w:r>
            <w:r>
              <w:rPr>
                <w:rFonts w:hint="eastAsia" w:ascii="宋体" w:hAnsi="宋体" w:cs="宋体"/>
                <w:bCs/>
                <w:sz w:val="24"/>
              </w:rPr>
              <w:t>：培训课程资源丰富、形式多样、内容新颖、质量高，课程资源内容与项目需求一致，体现针对性与时效性</w:t>
            </w:r>
            <w:r>
              <w:rPr>
                <w:rFonts w:ascii="宋体" w:hAnsi="宋体" w:cs="宋体"/>
                <w:bCs/>
                <w:sz w:val="24"/>
              </w:rPr>
              <w:t>,</w:t>
            </w:r>
            <w:r>
              <w:rPr>
                <w:rFonts w:hint="eastAsia" w:ascii="宋体" w:hAnsi="宋体" w:cs="宋体"/>
                <w:bCs/>
                <w:sz w:val="24"/>
              </w:rPr>
              <w:t>7分＜综合评分好≤9分，4分＜综合评分良好≤6分，0分＜综合评分一般≤3分；</w:t>
            </w:r>
          </w:p>
          <w:p>
            <w:pPr>
              <w:spacing w:line="360" w:lineRule="auto"/>
              <w:ind w:firstLine="482" w:firstLineChars="200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</w:t>
            </w:r>
            <w:r>
              <w:rPr>
                <w:rFonts w:ascii="宋体" w:hAnsi="宋体" w:cs="宋体"/>
                <w:b/>
                <w:sz w:val="24"/>
              </w:rPr>
              <w:t>2</w:t>
            </w:r>
            <w:r>
              <w:rPr>
                <w:rFonts w:hint="eastAsia" w:ascii="宋体" w:hAnsi="宋体" w:cs="宋体"/>
                <w:b/>
                <w:sz w:val="24"/>
              </w:rPr>
              <w:t>）课程设计（9分）</w:t>
            </w:r>
            <w:r>
              <w:rPr>
                <w:rFonts w:hint="eastAsia" w:ascii="宋体" w:hAnsi="宋体" w:cs="宋体"/>
                <w:bCs/>
                <w:sz w:val="24"/>
              </w:rPr>
              <w:t>：</w:t>
            </w:r>
          </w:p>
          <w:p>
            <w:pPr>
              <w:spacing w:line="360" w:lineRule="auto"/>
              <w:ind w:firstLine="480" w:firstLineChars="200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①培训课程内容设计合理，科学可行，充分了解培训服务对象现状，对参训对象的需求把握准确，2分＜综合评分好≤3分，1分＜综合评分良好≤2分，0分＜综合评分一般≤1分；</w:t>
            </w:r>
          </w:p>
          <w:p>
            <w:pPr>
              <w:spacing w:line="360" w:lineRule="auto"/>
              <w:ind w:firstLine="480" w:firstLineChars="200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②培训课程以课堂应用为目标，设置多元化课程，帮助参训教师切实提升学科课堂的教学设计、组织实施能力，2分＜综合评分好≤3分，1分＜综合评分良好≤2分，0分＜综合评分一般≤1分；</w:t>
            </w:r>
          </w:p>
          <w:p>
            <w:pPr>
              <w:spacing w:line="360" w:lineRule="auto"/>
              <w:ind w:firstLine="480" w:firstLineChars="200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③培训课程时间设计安排合理的、集中学习和观摩时间搭配合理，2分＜综合评分好≤3分，1分＜综合评分良好≤2分，0分＜综合评分一般≤1分；</w:t>
            </w:r>
          </w:p>
          <w:p>
            <w:pPr>
              <w:spacing w:line="360" w:lineRule="auto"/>
              <w:ind w:firstLine="482" w:firstLineChars="200"/>
              <w:outlineLvl w:val="1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</w:t>
            </w:r>
            <w:r>
              <w:rPr>
                <w:rFonts w:ascii="宋体" w:hAnsi="宋体" w:cs="宋体"/>
                <w:b/>
                <w:sz w:val="24"/>
              </w:rPr>
              <w:t>3</w:t>
            </w:r>
            <w:r>
              <w:rPr>
                <w:rFonts w:hint="eastAsia" w:ascii="宋体" w:hAnsi="宋体" w:cs="宋体"/>
                <w:b/>
                <w:sz w:val="24"/>
              </w:rPr>
              <w:t>）培训形式设计（6分）：</w:t>
            </w:r>
          </w:p>
          <w:p>
            <w:pPr>
              <w:spacing w:line="360" w:lineRule="auto"/>
              <w:ind w:firstLine="480" w:firstLineChars="200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①培训采取参与式、研讨式、案例式、情境式、体验式等培训方式注重多元化，2分＜综合评分好≤3分，1分＜综合评分良好≤2分，0分＜综合评分一般≤1分；</w:t>
            </w:r>
          </w:p>
          <w:p>
            <w:pPr>
              <w:spacing w:line="360" w:lineRule="auto"/>
              <w:ind w:firstLine="480" w:firstLineChars="200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②培训形式注重基于一线教学和教师课堂现场的培训环节，2分＜综合评分好≤3分，1分＜综合评分良好≤2分，0分＜综合评分一般≤1分；</w:t>
            </w:r>
          </w:p>
          <w:p>
            <w:pPr>
              <w:spacing w:line="360" w:lineRule="auto"/>
              <w:ind w:firstLine="482" w:firstLineChars="200"/>
              <w:outlineLvl w:val="1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（4）考核评价（6分）：</w:t>
            </w:r>
          </w:p>
          <w:p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①针对参训教师培训需求有科学合理、明确的的考核，方案，考核管理制度切实可行，4分＜综合评分好≤6分，2分＜综合评分良好≤4分，0分＜综合评分一般≤2分；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47" w:type="dxa"/>
            <w:vMerge w:val="continue"/>
            <w:vAlign w:val="center"/>
          </w:tcPr>
          <w:p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师资力量（20分）</w:t>
            </w:r>
          </w:p>
        </w:tc>
        <w:tc>
          <w:tcPr>
            <w:tcW w:w="6080" w:type="dxa"/>
            <w:gridSpan w:val="2"/>
            <w:vAlign w:val="center"/>
          </w:tcPr>
          <w:p>
            <w:pPr>
              <w:pStyle w:val="2"/>
              <w:widowControl/>
              <w:shd w:val="clear" w:color="auto" w:fill="FFFFFF"/>
              <w:wordWrap w:val="0"/>
              <w:spacing w:line="360" w:lineRule="auto"/>
              <w:ind w:firstLine="480" w:firstLineChars="200"/>
              <w:rPr>
                <w:rFonts w:ascii="宋体" w:hAnsi="宋体" w:eastAsia="宋体" w:cs="宋体"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2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2"/>
                <w:lang w:eastAsia="zh-CN"/>
              </w:rPr>
              <w:t>）具有相对稳定、经验丰富、专兼结合、结构合理、熟悉中小学实际课程开发、教学和辅导教师团队，团队人数不得少于4人；</w:t>
            </w:r>
          </w:p>
          <w:p>
            <w:pPr>
              <w:pStyle w:val="2"/>
              <w:widowControl/>
              <w:shd w:val="clear" w:color="auto" w:fill="FFFFFF"/>
              <w:wordWrap w:val="0"/>
              <w:spacing w:line="360" w:lineRule="auto"/>
              <w:ind w:firstLine="480" w:firstLineChars="200"/>
              <w:rPr>
                <w:rFonts w:ascii="宋体" w:hAnsi="宋体" w:eastAsia="宋体" w:cs="宋体"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2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2"/>
                <w:lang w:eastAsia="zh-CN"/>
              </w:rPr>
              <w:t>）评委依据投标单位提供的参与本项目的授课培训团队教师进行评审：</w:t>
            </w:r>
          </w:p>
          <w:p>
            <w:pPr>
              <w:pStyle w:val="2"/>
              <w:widowControl/>
              <w:shd w:val="clear" w:color="auto" w:fill="FFFFFF"/>
              <w:wordWrap w:val="0"/>
              <w:spacing w:line="360" w:lineRule="auto"/>
              <w:ind w:firstLine="480" w:firstLineChars="200"/>
              <w:rPr>
                <w:rFonts w:ascii="宋体" w:hAnsi="宋体" w:eastAsia="宋体" w:cs="宋体"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2"/>
                <w:lang w:eastAsia="zh-CN"/>
              </w:rPr>
              <w:t>授课培训团队中，正高级职称有一个得5分；</w:t>
            </w:r>
          </w:p>
          <w:p>
            <w:pPr>
              <w:pStyle w:val="2"/>
              <w:widowControl/>
              <w:shd w:val="clear" w:color="auto" w:fill="FFFFFF"/>
              <w:wordWrap w:val="0"/>
              <w:spacing w:line="360" w:lineRule="auto"/>
              <w:ind w:firstLine="480" w:firstLineChars="200"/>
              <w:rPr>
                <w:rFonts w:ascii="宋体" w:hAnsi="宋体" w:eastAsia="宋体" w:cs="宋体"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2"/>
                <w:lang w:eastAsia="zh-CN"/>
              </w:rPr>
              <w:t>授课培训团队中聘用长期在一线中小学授课、教学经验丰富的高级职称的教师占授课培训团队人数的占比率：4分＜达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2"/>
                <w:lang w:eastAsia="zh-CN"/>
              </w:rPr>
              <w:t>80%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2"/>
                <w:lang w:eastAsia="zh-CN"/>
              </w:rPr>
              <w:t>≤5分，2分＜达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2"/>
                <w:lang w:eastAsia="zh-CN"/>
              </w:rPr>
              <w:t>60%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2"/>
                <w:lang w:eastAsia="zh-CN"/>
              </w:rPr>
              <w:t>≤3分，0分＜达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2"/>
                <w:lang w:eastAsia="zh-CN"/>
              </w:rPr>
              <w:t>40%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2"/>
                <w:lang w:eastAsia="zh-CN"/>
              </w:rPr>
              <w:t>≤1分；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（须提供自行罗列的参与本项目的授课培训团队人员列表：表中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须提供人员名字、职称、学历</w:t>
            </w:r>
            <w:r>
              <w:rPr>
                <w:rFonts w:hint="eastAsia" w:ascii="宋体" w:hAnsi="宋体" w:cs="宋体"/>
                <w:bCs/>
                <w:sz w:val="24"/>
              </w:rPr>
              <w:t>等；表后须附简介、相关证明材料；）</w:t>
            </w:r>
          </w:p>
          <w:p>
            <w:pPr>
              <w:spacing w:line="360" w:lineRule="auto"/>
              <w:ind w:firstLine="480" w:firstLineChars="200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备注：授课培训团队为参与本项目的全体授课教师，不包含参与培训活动实施的非授课教师的项目管理团队人员。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疫情防控措施（5分）</w:t>
            </w:r>
          </w:p>
        </w:tc>
        <w:tc>
          <w:tcPr>
            <w:tcW w:w="6080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疫情防控期间，供应商须做好疫情防控、消毒等措施。4分＜综合评分好≤5分，2分＜综合评分良好≤3分，0分＜综合评分一般≤1分；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2.2.3</w:t>
            </w:r>
          </w:p>
          <w:p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报价标</w:t>
            </w:r>
          </w:p>
          <w:p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（30分）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基准价</w:t>
            </w:r>
          </w:p>
        </w:tc>
        <w:tc>
          <w:tcPr>
            <w:tcW w:w="6080" w:type="dxa"/>
            <w:gridSpan w:val="2"/>
          </w:tcPr>
          <w:p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满足招标文件要求且报价最低的报价为基准价，其价格分为30分，按下列公式计算：报价得分</w:t>
            </w:r>
            <w:r>
              <w:rPr>
                <w:rFonts w:ascii="宋体" w:hAnsi="宋体" w:cs="宋体"/>
                <w:bCs/>
                <w:sz w:val="24"/>
              </w:rPr>
              <w:t>=(</w:t>
            </w:r>
            <w:r>
              <w:rPr>
                <w:rFonts w:hint="eastAsia" w:ascii="宋体" w:hAnsi="宋体" w:cs="宋体"/>
                <w:bCs/>
                <w:sz w:val="24"/>
              </w:rPr>
              <w:t>基准价／报价</w:t>
            </w:r>
            <w:r>
              <w:rPr>
                <w:rFonts w:ascii="宋体" w:hAnsi="宋体" w:cs="宋体"/>
                <w:bCs/>
                <w:sz w:val="24"/>
              </w:rPr>
              <w:t>)</w:t>
            </w:r>
            <w:r>
              <w:rPr>
                <w:rFonts w:hint="eastAsia" w:ascii="宋体" w:hAnsi="宋体" w:cs="宋体"/>
                <w:bCs/>
                <w:sz w:val="24"/>
              </w:rPr>
              <w:t>×报价权值30</w:t>
            </w:r>
            <w:r>
              <w:rPr>
                <w:rFonts w:ascii="宋体" w:hAnsi="宋体" w:cs="宋体"/>
                <w:bCs/>
                <w:sz w:val="24"/>
              </w:rPr>
              <w:t>%</w:t>
            </w:r>
            <w:r>
              <w:rPr>
                <w:rFonts w:hint="eastAsia" w:ascii="宋体" w:hAnsi="宋体" w:cs="宋体"/>
                <w:bCs/>
                <w:sz w:val="24"/>
              </w:rPr>
              <w:t>×</w:t>
            </w:r>
            <w:r>
              <w:rPr>
                <w:rFonts w:ascii="宋体" w:hAnsi="宋体" w:cs="宋体"/>
                <w:bCs/>
                <w:sz w:val="24"/>
              </w:rPr>
              <w:t>100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0189"/>
    <w:rsid w:val="6819635A"/>
    <w:rsid w:val="6E0F0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99"/>
    <w:pPr>
      <w:widowControl w:val="0"/>
      <w:adjustRightInd/>
      <w:snapToGrid/>
      <w:spacing w:after="0"/>
    </w:pPr>
    <w:rPr>
      <w:rFonts w:ascii="Courier New" w:hAnsi="Courier New" w:eastAsia="PMingLiU"/>
      <w:kern w:val="2"/>
      <w:sz w:val="20"/>
      <w:szCs w:val="20"/>
      <w:lang w:eastAsia="zh-TW"/>
    </w:rPr>
  </w:style>
  <w:style w:type="paragraph" w:customStyle="1" w:styleId="5">
    <w:name w:val="标题1"/>
    <w:basedOn w:val="1"/>
    <w:next w:val="1"/>
    <w:qFormat/>
    <w:uiPriority w:val="99"/>
    <w:pPr>
      <w:widowControl w:val="0"/>
      <w:tabs>
        <w:tab w:val="left" w:pos="9193"/>
        <w:tab w:val="left" w:pos="9827"/>
      </w:tabs>
      <w:adjustRightInd/>
      <w:snapToGrid/>
      <w:spacing w:after="0" w:line="700" w:lineRule="atLeast"/>
      <w:jc w:val="center"/>
    </w:pPr>
    <w:rPr>
      <w:rFonts w:ascii="Times New Roman" w:hAnsi="Times New Roman" w:eastAsia="方正小标宋_GBK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2020-07-23T02:04:00Z</dcterms:created>
  <dc:creator>user</dc:creator>
  <cp:lastModifiedBy>user</cp:lastModifiedBy>
  <dcterms:modified xsi:type="dcterms:W3CDTF">2020-07-23T02:15:30Z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